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14AF" w14:textId="77777777" w:rsidR="00322AA9" w:rsidRDefault="00322AA9" w:rsidP="00322AA9">
      <w:pPr>
        <w:jc w:val="center"/>
        <w:rPr>
          <w:rFonts w:ascii="Biome" w:hAnsi="Biome" w:cs="Biome"/>
          <w:b/>
          <w:bCs/>
          <w:sz w:val="32"/>
          <w:szCs w:val="32"/>
        </w:rPr>
      </w:pPr>
    </w:p>
    <w:p w14:paraId="018D2883" w14:textId="77777777" w:rsidR="00322AA9" w:rsidRDefault="00322AA9" w:rsidP="00322AA9">
      <w:pPr>
        <w:spacing w:line="240" w:lineRule="auto"/>
        <w:jc w:val="center"/>
        <w:rPr>
          <w:rFonts w:ascii="Biome" w:hAnsi="Biome" w:cs="Biome"/>
          <w:b/>
          <w:bCs/>
          <w:sz w:val="32"/>
          <w:szCs w:val="32"/>
        </w:rPr>
      </w:pPr>
    </w:p>
    <w:p w14:paraId="1FE2C102" w14:textId="77777777" w:rsidR="005D3C44" w:rsidRDefault="00322AA9" w:rsidP="00322AA9">
      <w:pPr>
        <w:spacing w:line="240" w:lineRule="auto"/>
        <w:jc w:val="center"/>
        <w:rPr>
          <w:rFonts w:ascii="Biome" w:hAnsi="Biome" w:cs="Biome"/>
          <w:b/>
          <w:bCs/>
          <w:sz w:val="30"/>
          <w:szCs w:val="30"/>
        </w:rPr>
      </w:pPr>
      <w:r>
        <w:rPr>
          <w:rFonts w:ascii="Biome" w:hAnsi="Biome" w:cs="Biome"/>
          <w:b/>
          <w:bCs/>
          <w:sz w:val="30"/>
          <w:szCs w:val="30"/>
        </w:rPr>
        <w:t>REMARKS</w:t>
      </w:r>
      <w:r w:rsidRPr="005063DB">
        <w:rPr>
          <w:rFonts w:ascii="Biome" w:hAnsi="Biome" w:cs="Biome"/>
          <w:b/>
          <w:bCs/>
          <w:sz w:val="30"/>
          <w:szCs w:val="30"/>
        </w:rPr>
        <w:t xml:space="preserve"> BY THE HONOURABLE CHIEF JUSTICE </w:t>
      </w:r>
      <w:r w:rsidR="005045EE">
        <w:rPr>
          <w:rFonts w:ascii="Biome" w:hAnsi="Biome" w:cs="Biome"/>
          <w:b/>
          <w:bCs/>
          <w:sz w:val="30"/>
          <w:szCs w:val="30"/>
        </w:rPr>
        <w:t xml:space="preserve"> S.P. </w:t>
      </w:r>
      <w:r w:rsidRPr="005063DB">
        <w:rPr>
          <w:rFonts w:ascii="Biome" w:hAnsi="Biome" w:cs="Biome"/>
          <w:b/>
          <w:bCs/>
          <w:sz w:val="30"/>
          <w:szCs w:val="30"/>
        </w:rPr>
        <w:t>SAKOANE AT</w:t>
      </w:r>
      <w:r w:rsidR="005045EE">
        <w:rPr>
          <w:rFonts w:ascii="Biome" w:hAnsi="Biome" w:cs="Biome"/>
          <w:b/>
          <w:bCs/>
          <w:sz w:val="30"/>
          <w:szCs w:val="30"/>
        </w:rPr>
        <w:t xml:space="preserve"> </w:t>
      </w:r>
      <w:r w:rsidRPr="005063DB">
        <w:rPr>
          <w:rFonts w:ascii="Biome" w:hAnsi="Biome" w:cs="Biome"/>
          <w:b/>
          <w:bCs/>
          <w:sz w:val="30"/>
          <w:szCs w:val="30"/>
        </w:rPr>
        <w:t xml:space="preserve"> THE </w:t>
      </w:r>
      <w:r>
        <w:rPr>
          <w:rFonts w:ascii="Biome" w:hAnsi="Biome" w:cs="Biome"/>
          <w:b/>
          <w:bCs/>
          <w:sz w:val="30"/>
          <w:szCs w:val="30"/>
        </w:rPr>
        <w:t>ICJ</w:t>
      </w:r>
      <w:r w:rsidR="005045EE">
        <w:rPr>
          <w:rFonts w:ascii="Biome" w:hAnsi="Biome" w:cs="Biome"/>
          <w:b/>
          <w:bCs/>
          <w:sz w:val="30"/>
          <w:szCs w:val="30"/>
        </w:rPr>
        <w:t xml:space="preserve"> JUDICIAL WORKSHOPS: </w:t>
      </w:r>
    </w:p>
    <w:p w14:paraId="4157A960" w14:textId="3BAE1184" w:rsidR="005045EE" w:rsidRDefault="005045EE" w:rsidP="00322AA9">
      <w:pPr>
        <w:spacing w:line="240" w:lineRule="auto"/>
        <w:jc w:val="center"/>
        <w:rPr>
          <w:rFonts w:ascii="Biome" w:hAnsi="Biome" w:cs="Biome"/>
          <w:b/>
          <w:bCs/>
          <w:sz w:val="30"/>
          <w:szCs w:val="30"/>
        </w:rPr>
      </w:pPr>
      <w:r>
        <w:rPr>
          <w:rFonts w:ascii="Biome" w:hAnsi="Biome" w:cs="Biome"/>
          <w:b/>
          <w:bCs/>
          <w:sz w:val="30"/>
          <w:szCs w:val="30"/>
        </w:rPr>
        <w:t>ACCESS TO JUSTICE FOR PERSONS WITH DISABILITIES IN LESOTHO &amp; LGBTI RIGHTS</w:t>
      </w:r>
      <w:r w:rsidR="00322AA9">
        <w:rPr>
          <w:rFonts w:ascii="Biome" w:hAnsi="Biome" w:cs="Biome"/>
          <w:b/>
          <w:bCs/>
          <w:sz w:val="30"/>
          <w:szCs w:val="30"/>
        </w:rPr>
        <w:t xml:space="preserve"> </w:t>
      </w:r>
    </w:p>
    <w:p w14:paraId="093E818D" w14:textId="52BCC16D" w:rsidR="00322AA9" w:rsidRPr="005063DB" w:rsidRDefault="005045EE" w:rsidP="00322AA9">
      <w:pPr>
        <w:spacing w:line="240" w:lineRule="auto"/>
        <w:jc w:val="center"/>
        <w:rPr>
          <w:rFonts w:ascii="Biome" w:hAnsi="Biome" w:cs="Biome"/>
          <w:b/>
          <w:bCs/>
          <w:sz w:val="30"/>
          <w:szCs w:val="30"/>
        </w:rPr>
      </w:pPr>
      <w:r>
        <w:rPr>
          <w:rFonts w:ascii="Biome" w:hAnsi="Biome" w:cs="Biome"/>
          <w:b/>
          <w:bCs/>
          <w:sz w:val="30"/>
          <w:szCs w:val="30"/>
        </w:rPr>
        <w:t>1</w:t>
      </w:r>
      <w:r w:rsidR="00322AA9">
        <w:rPr>
          <w:rFonts w:ascii="Biome" w:hAnsi="Biome" w:cs="Biome"/>
          <w:b/>
          <w:bCs/>
          <w:sz w:val="30"/>
          <w:szCs w:val="30"/>
        </w:rPr>
        <w:t>1</w:t>
      </w:r>
      <w:r w:rsidR="00322AA9">
        <w:rPr>
          <w:rFonts w:ascii="Biome" w:hAnsi="Biome" w:cs="Biome"/>
          <w:b/>
          <w:bCs/>
          <w:sz w:val="30"/>
          <w:szCs w:val="30"/>
          <w:vertAlign w:val="superscript"/>
        </w:rPr>
        <w:t>T</w:t>
      </w:r>
      <w:r w:rsidR="00B96E67">
        <w:rPr>
          <w:rFonts w:ascii="Biome" w:hAnsi="Biome" w:cs="Biome"/>
          <w:b/>
          <w:bCs/>
          <w:sz w:val="30"/>
          <w:szCs w:val="30"/>
          <w:vertAlign w:val="superscript"/>
        </w:rPr>
        <w:t>H</w:t>
      </w:r>
      <w:r w:rsidR="00322AA9">
        <w:rPr>
          <w:rFonts w:ascii="Biome" w:hAnsi="Biome" w:cs="Biome"/>
          <w:b/>
          <w:bCs/>
          <w:sz w:val="30"/>
          <w:szCs w:val="30"/>
          <w:vertAlign w:val="superscript"/>
        </w:rPr>
        <w:t xml:space="preserve"> </w:t>
      </w:r>
      <w:r w:rsidR="00322AA9">
        <w:rPr>
          <w:rFonts w:ascii="Biome" w:hAnsi="Biome" w:cs="Biome"/>
          <w:b/>
          <w:bCs/>
          <w:sz w:val="30"/>
          <w:szCs w:val="30"/>
        </w:rPr>
        <w:t>– 12</w:t>
      </w:r>
      <w:r w:rsidR="00322AA9" w:rsidRPr="00322AA9">
        <w:rPr>
          <w:rFonts w:ascii="Biome" w:hAnsi="Biome" w:cs="Biome"/>
          <w:b/>
          <w:bCs/>
          <w:sz w:val="30"/>
          <w:szCs w:val="30"/>
          <w:vertAlign w:val="superscript"/>
        </w:rPr>
        <w:t>TH</w:t>
      </w:r>
      <w:r w:rsidR="00322AA9">
        <w:rPr>
          <w:rFonts w:ascii="Biome" w:hAnsi="Biome" w:cs="Biome"/>
          <w:b/>
          <w:bCs/>
          <w:sz w:val="30"/>
          <w:szCs w:val="30"/>
        </w:rPr>
        <w:t xml:space="preserve"> OCTOBER 2022</w:t>
      </w:r>
    </w:p>
    <w:p w14:paraId="3DFCAD3E" w14:textId="77777777" w:rsidR="00322AA9" w:rsidRPr="005063DB" w:rsidRDefault="00322AA9" w:rsidP="00322AA9">
      <w:pPr>
        <w:pStyle w:val="ListParagraph"/>
        <w:numPr>
          <w:ilvl w:val="0"/>
          <w:numId w:val="1"/>
        </w:numPr>
        <w:spacing w:line="240" w:lineRule="auto"/>
        <w:jc w:val="center"/>
        <w:rPr>
          <w:rFonts w:ascii="Biome" w:hAnsi="Biome" w:cs="Biome"/>
          <w:b/>
          <w:bCs/>
          <w:sz w:val="30"/>
          <w:szCs w:val="30"/>
        </w:rPr>
      </w:pPr>
      <w:r w:rsidRPr="005063DB">
        <w:rPr>
          <w:rFonts w:ascii="Biome" w:hAnsi="Biome" w:cs="Biome"/>
          <w:b/>
          <w:bCs/>
          <w:sz w:val="30"/>
          <w:szCs w:val="30"/>
        </w:rPr>
        <w:t>-  -  -  -  -  -  -  -  -  -  -  -</w:t>
      </w:r>
    </w:p>
    <w:p w14:paraId="029C9CF7" w14:textId="77777777" w:rsidR="00322AA9" w:rsidRDefault="00322AA9" w:rsidP="00322AA9">
      <w:pPr>
        <w:rPr>
          <w:rFonts w:ascii="Times New Roman" w:hAnsi="Times New Roman" w:cs="Times New Roman"/>
          <w:sz w:val="28"/>
          <w:szCs w:val="28"/>
        </w:rPr>
      </w:pPr>
    </w:p>
    <w:p w14:paraId="6B510DAA" w14:textId="77777777" w:rsidR="00322AA9" w:rsidRDefault="00322AA9" w:rsidP="00322AA9">
      <w:pPr>
        <w:rPr>
          <w:rFonts w:ascii="Times New Roman" w:hAnsi="Times New Roman" w:cs="Times New Roman"/>
          <w:sz w:val="28"/>
          <w:szCs w:val="28"/>
        </w:rPr>
      </w:pPr>
      <w:r>
        <w:rPr>
          <w:rFonts w:ascii="Times New Roman" w:hAnsi="Times New Roman" w:cs="Times New Roman"/>
          <w:sz w:val="28"/>
          <w:szCs w:val="28"/>
        </w:rPr>
        <w:t>Honourable Judges</w:t>
      </w:r>
    </w:p>
    <w:p w14:paraId="7C9C17B3" w14:textId="77777777" w:rsidR="00322AA9" w:rsidRDefault="00322AA9" w:rsidP="00322AA9">
      <w:pPr>
        <w:rPr>
          <w:rFonts w:ascii="Times New Roman" w:hAnsi="Times New Roman" w:cs="Times New Roman"/>
          <w:sz w:val="28"/>
          <w:szCs w:val="28"/>
        </w:rPr>
      </w:pPr>
      <w:r>
        <w:rPr>
          <w:rFonts w:ascii="Times New Roman" w:hAnsi="Times New Roman" w:cs="Times New Roman"/>
          <w:sz w:val="28"/>
          <w:szCs w:val="28"/>
        </w:rPr>
        <w:t>Your Worships Chief Magistrates and the Magistrates</w:t>
      </w:r>
    </w:p>
    <w:p w14:paraId="2CC44CDE" w14:textId="481C7665" w:rsidR="00322AA9" w:rsidRDefault="005045EE" w:rsidP="00322AA9">
      <w:pPr>
        <w:rPr>
          <w:rFonts w:ascii="Times New Roman" w:hAnsi="Times New Roman" w:cs="Times New Roman"/>
          <w:sz w:val="28"/>
          <w:szCs w:val="28"/>
        </w:rPr>
      </w:pPr>
      <w:r>
        <w:rPr>
          <w:rFonts w:ascii="Times New Roman" w:hAnsi="Times New Roman" w:cs="Times New Roman"/>
          <w:sz w:val="28"/>
          <w:szCs w:val="28"/>
        </w:rPr>
        <w:t>Distinguished delegation of the International Commission of Jurists</w:t>
      </w:r>
    </w:p>
    <w:p w14:paraId="01C5BC4A" w14:textId="77777777" w:rsidR="00322AA9" w:rsidRDefault="00322AA9" w:rsidP="00322AA9">
      <w:pPr>
        <w:rPr>
          <w:rFonts w:ascii="Times New Roman" w:hAnsi="Times New Roman" w:cs="Times New Roman"/>
          <w:sz w:val="28"/>
          <w:szCs w:val="28"/>
        </w:rPr>
      </w:pPr>
    </w:p>
    <w:p w14:paraId="19D51BFB" w14:textId="77777777" w:rsidR="00322AA9" w:rsidRDefault="00322AA9" w:rsidP="00322AA9">
      <w:pPr>
        <w:rPr>
          <w:rFonts w:ascii="Times New Roman" w:hAnsi="Times New Roman" w:cs="Times New Roman"/>
          <w:sz w:val="28"/>
          <w:szCs w:val="28"/>
        </w:rPr>
      </w:pPr>
    </w:p>
    <w:p w14:paraId="38EA23E9" w14:textId="063D6F0B" w:rsidR="00322AA9" w:rsidRDefault="00322AA9" w:rsidP="00322AA9">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We are gathered here to deliberate on two topics that focus </w:t>
      </w:r>
      <w:r w:rsidR="00B96E67">
        <w:rPr>
          <w:rFonts w:ascii="Times New Roman" w:hAnsi="Times New Roman" w:cs="Times New Roman"/>
          <w:sz w:val="28"/>
          <w:szCs w:val="28"/>
        </w:rPr>
        <w:t>o</w:t>
      </w:r>
      <w:r>
        <w:rPr>
          <w:rFonts w:ascii="Times New Roman" w:hAnsi="Times New Roman" w:cs="Times New Roman"/>
          <w:sz w:val="28"/>
          <w:szCs w:val="28"/>
        </w:rPr>
        <w:t>n the struggle to recogni</w:t>
      </w:r>
      <w:r w:rsidR="00377AE5">
        <w:rPr>
          <w:rFonts w:ascii="Times New Roman" w:hAnsi="Times New Roman" w:cs="Times New Roman"/>
          <w:sz w:val="28"/>
          <w:szCs w:val="28"/>
        </w:rPr>
        <w:t>z</w:t>
      </w:r>
      <w:r>
        <w:rPr>
          <w:rFonts w:ascii="Times New Roman" w:hAnsi="Times New Roman" w:cs="Times New Roman"/>
          <w:sz w:val="28"/>
          <w:szCs w:val="28"/>
        </w:rPr>
        <w:t>e, accept</w:t>
      </w:r>
      <w:r w:rsidR="00377AE5">
        <w:rPr>
          <w:rFonts w:ascii="Times New Roman" w:hAnsi="Times New Roman" w:cs="Times New Roman"/>
          <w:sz w:val="28"/>
          <w:szCs w:val="28"/>
        </w:rPr>
        <w:t xml:space="preserve">, promote and defend rights of society’s two vulnerable </w:t>
      </w:r>
      <w:r w:rsidR="005045EE">
        <w:rPr>
          <w:rFonts w:ascii="Times New Roman" w:hAnsi="Times New Roman" w:cs="Times New Roman"/>
          <w:sz w:val="28"/>
          <w:szCs w:val="28"/>
        </w:rPr>
        <w:t xml:space="preserve">and marginalised </w:t>
      </w:r>
      <w:r w:rsidR="00377AE5">
        <w:rPr>
          <w:rFonts w:ascii="Times New Roman" w:hAnsi="Times New Roman" w:cs="Times New Roman"/>
          <w:sz w:val="28"/>
          <w:szCs w:val="28"/>
        </w:rPr>
        <w:t>groups.  The first group is of persons know</w:t>
      </w:r>
      <w:r w:rsidR="00B96E67">
        <w:rPr>
          <w:rFonts w:ascii="Times New Roman" w:hAnsi="Times New Roman" w:cs="Times New Roman"/>
          <w:sz w:val="28"/>
          <w:szCs w:val="28"/>
        </w:rPr>
        <w:t>n</w:t>
      </w:r>
      <w:r w:rsidR="00377AE5">
        <w:rPr>
          <w:rFonts w:ascii="Times New Roman" w:hAnsi="Times New Roman" w:cs="Times New Roman"/>
          <w:sz w:val="28"/>
          <w:szCs w:val="28"/>
        </w:rPr>
        <w:t xml:space="preserve"> by the generic term LGBTIQ, namely lesbians, gays, bisexuals, transgender, intersex and queer people.  The second group is that of persons with disabilities. </w:t>
      </w:r>
    </w:p>
    <w:p w14:paraId="097082E8" w14:textId="77777777" w:rsidR="00322AA9" w:rsidRDefault="00322AA9" w:rsidP="00322AA9">
      <w:pPr>
        <w:spacing w:line="360" w:lineRule="auto"/>
        <w:ind w:left="720" w:hanging="720"/>
        <w:jc w:val="both"/>
        <w:rPr>
          <w:rFonts w:ascii="Times New Roman" w:hAnsi="Times New Roman" w:cs="Times New Roman"/>
          <w:sz w:val="28"/>
          <w:szCs w:val="28"/>
        </w:rPr>
      </w:pPr>
    </w:p>
    <w:p w14:paraId="438F8919" w14:textId="7DD9B54F" w:rsidR="00322AA9" w:rsidRDefault="00322AA9" w:rsidP="00377AE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377AE5">
        <w:rPr>
          <w:rFonts w:ascii="Times New Roman" w:hAnsi="Times New Roman" w:cs="Times New Roman"/>
          <w:sz w:val="28"/>
          <w:szCs w:val="28"/>
        </w:rPr>
        <w:t>Like all discourses on human rights, the starting point is international human rights law and pronouncements of international, continental and regional bodies on matters affecting these two groups.</w:t>
      </w:r>
    </w:p>
    <w:p w14:paraId="240DA05F" w14:textId="39CE1BFA" w:rsidR="005045EE" w:rsidRDefault="005045EE" w:rsidP="00377AE5">
      <w:pPr>
        <w:spacing w:line="360" w:lineRule="auto"/>
        <w:ind w:left="720" w:hanging="720"/>
        <w:jc w:val="both"/>
        <w:rPr>
          <w:rFonts w:ascii="Times New Roman" w:hAnsi="Times New Roman" w:cs="Times New Roman"/>
          <w:sz w:val="28"/>
          <w:szCs w:val="28"/>
        </w:rPr>
      </w:pPr>
    </w:p>
    <w:p w14:paraId="331419E4" w14:textId="77777777" w:rsidR="005045EE" w:rsidRDefault="005045EE" w:rsidP="00377AE5">
      <w:pPr>
        <w:spacing w:line="360" w:lineRule="auto"/>
        <w:ind w:left="720" w:hanging="720"/>
        <w:jc w:val="both"/>
        <w:rPr>
          <w:rFonts w:ascii="Times New Roman" w:hAnsi="Times New Roman" w:cs="Times New Roman"/>
          <w:sz w:val="28"/>
          <w:szCs w:val="28"/>
        </w:rPr>
      </w:pPr>
    </w:p>
    <w:p w14:paraId="4B902AB2" w14:textId="74C2BDA3" w:rsidR="00377AE5" w:rsidRDefault="00377AE5" w:rsidP="00377AE5">
      <w:pPr>
        <w:spacing w:line="360" w:lineRule="auto"/>
        <w:ind w:left="720" w:hanging="720"/>
        <w:jc w:val="both"/>
        <w:rPr>
          <w:rFonts w:ascii="Times New Roman" w:hAnsi="Times New Roman" w:cs="Times New Roman"/>
          <w:sz w:val="28"/>
          <w:szCs w:val="28"/>
        </w:rPr>
      </w:pPr>
    </w:p>
    <w:p w14:paraId="6DF20149" w14:textId="22FD7DD7" w:rsidR="00377AE5" w:rsidRPr="002A1DEB" w:rsidRDefault="00377AE5" w:rsidP="00377AE5">
      <w:pPr>
        <w:spacing w:line="360" w:lineRule="auto"/>
        <w:ind w:left="720" w:hanging="720"/>
        <w:jc w:val="both"/>
        <w:rPr>
          <w:rFonts w:ascii="Times New Roman" w:hAnsi="Times New Roman" w:cs="Times New Roman"/>
          <w:b/>
          <w:bCs/>
          <w:sz w:val="28"/>
          <w:szCs w:val="28"/>
        </w:rPr>
      </w:pPr>
      <w:r w:rsidRPr="002A1DEB">
        <w:rPr>
          <w:rFonts w:ascii="Times New Roman" w:hAnsi="Times New Roman" w:cs="Times New Roman"/>
          <w:b/>
          <w:bCs/>
          <w:sz w:val="28"/>
          <w:szCs w:val="28"/>
        </w:rPr>
        <w:t>Persons with Disabilities</w:t>
      </w:r>
    </w:p>
    <w:p w14:paraId="71D176D2" w14:textId="4E26D709" w:rsidR="00377AE5" w:rsidRDefault="00377AE5" w:rsidP="00377AE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Permit me to start first with persons with disabilities as their recognition</w:t>
      </w:r>
      <w:r w:rsidR="002A1DEB">
        <w:rPr>
          <w:rFonts w:ascii="Times New Roman" w:hAnsi="Times New Roman" w:cs="Times New Roman"/>
          <w:sz w:val="28"/>
          <w:szCs w:val="28"/>
        </w:rPr>
        <w:t xml:space="preserve"> and protection is roundly accepted and has been codified by the </w:t>
      </w:r>
      <w:r w:rsidR="002A1DEB" w:rsidRPr="006C36C5">
        <w:rPr>
          <w:rFonts w:ascii="Times New Roman" w:hAnsi="Times New Roman" w:cs="Times New Roman"/>
          <w:b/>
          <w:bCs/>
          <w:sz w:val="28"/>
          <w:szCs w:val="28"/>
        </w:rPr>
        <w:t>United Nations Convention on The Rights of Persons With Disabilities</w:t>
      </w:r>
      <w:r w:rsidR="002A1DEB">
        <w:rPr>
          <w:rFonts w:ascii="Times New Roman" w:hAnsi="Times New Roman" w:cs="Times New Roman"/>
          <w:sz w:val="28"/>
          <w:szCs w:val="28"/>
        </w:rPr>
        <w:t>.  Article 12 thereof, provides for their equal protection before the law.  This means that they enjoy the same legal capacity with other non-disabled persons.  This a paradigm shift  from substituted decision-making by others to supported decision-making</w:t>
      </w:r>
      <w:r w:rsidR="005045EE">
        <w:rPr>
          <w:rFonts w:ascii="Times New Roman" w:hAnsi="Times New Roman" w:cs="Times New Roman"/>
          <w:sz w:val="28"/>
          <w:szCs w:val="28"/>
        </w:rPr>
        <w:t>.  In substituted decision-making,</w:t>
      </w:r>
      <w:r w:rsidR="002A1DEB">
        <w:rPr>
          <w:rFonts w:ascii="Times New Roman" w:hAnsi="Times New Roman" w:cs="Times New Roman"/>
          <w:sz w:val="28"/>
          <w:szCs w:val="28"/>
        </w:rPr>
        <w:t xml:space="preserve"> a third person is a  substitute decision-maker whereas</w:t>
      </w:r>
      <w:r w:rsidR="00CA0F40">
        <w:rPr>
          <w:rFonts w:ascii="Times New Roman" w:hAnsi="Times New Roman" w:cs="Times New Roman"/>
          <w:sz w:val="28"/>
          <w:szCs w:val="28"/>
        </w:rPr>
        <w:t xml:space="preserve"> in supported decision-making, the third person is only there to support making of decisions</w:t>
      </w:r>
      <w:r w:rsidR="005045EE">
        <w:rPr>
          <w:rFonts w:ascii="Times New Roman" w:hAnsi="Times New Roman" w:cs="Times New Roman"/>
          <w:sz w:val="28"/>
          <w:szCs w:val="28"/>
        </w:rPr>
        <w:t xml:space="preserve"> by a person with disability</w:t>
      </w:r>
      <w:r w:rsidR="00CA0F40">
        <w:rPr>
          <w:rFonts w:ascii="Times New Roman" w:hAnsi="Times New Roman" w:cs="Times New Roman"/>
          <w:sz w:val="28"/>
          <w:szCs w:val="28"/>
        </w:rPr>
        <w:t>.  The person with disability has full decision-making capacity an</w:t>
      </w:r>
      <w:r w:rsidR="00B96E67">
        <w:rPr>
          <w:rFonts w:ascii="Times New Roman" w:hAnsi="Times New Roman" w:cs="Times New Roman"/>
          <w:sz w:val="28"/>
          <w:szCs w:val="28"/>
        </w:rPr>
        <w:t>d</w:t>
      </w:r>
      <w:r w:rsidR="00CA0F40">
        <w:rPr>
          <w:rFonts w:ascii="Times New Roman" w:hAnsi="Times New Roman" w:cs="Times New Roman"/>
          <w:sz w:val="28"/>
          <w:szCs w:val="28"/>
        </w:rPr>
        <w:t xml:space="preserve"> should be enabled and supported in that regard.</w:t>
      </w:r>
    </w:p>
    <w:p w14:paraId="4BA207CC" w14:textId="2211EEEF" w:rsidR="00CA0F40" w:rsidRDefault="00CA0F40" w:rsidP="00377AE5">
      <w:pPr>
        <w:spacing w:line="360" w:lineRule="auto"/>
        <w:ind w:left="720" w:hanging="720"/>
        <w:jc w:val="both"/>
        <w:rPr>
          <w:rFonts w:ascii="Times New Roman" w:hAnsi="Times New Roman" w:cs="Times New Roman"/>
          <w:sz w:val="28"/>
          <w:szCs w:val="28"/>
        </w:rPr>
      </w:pPr>
    </w:p>
    <w:p w14:paraId="250807CA" w14:textId="588E36FB" w:rsidR="00CA0F40" w:rsidRDefault="00CA0F40" w:rsidP="00377AE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5045EE">
        <w:rPr>
          <w:rFonts w:ascii="Times New Roman" w:hAnsi="Times New Roman" w:cs="Times New Roman"/>
          <w:sz w:val="28"/>
          <w:szCs w:val="28"/>
        </w:rPr>
        <w:t>However, l</w:t>
      </w:r>
      <w:r>
        <w:rPr>
          <w:rFonts w:ascii="Times New Roman" w:hAnsi="Times New Roman" w:cs="Times New Roman"/>
          <w:sz w:val="28"/>
          <w:szCs w:val="28"/>
        </w:rPr>
        <w:t xml:space="preserve">egal capacity does not equate </w:t>
      </w:r>
      <w:r w:rsidR="003B4BB6">
        <w:rPr>
          <w:rFonts w:ascii="Times New Roman" w:hAnsi="Times New Roman" w:cs="Times New Roman"/>
          <w:sz w:val="28"/>
          <w:szCs w:val="28"/>
        </w:rPr>
        <w:t>to</w:t>
      </w:r>
      <w:r>
        <w:rPr>
          <w:rFonts w:ascii="Times New Roman" w:hAnsi="Times New Roman" w:cs="Times New Roman"/>
          <w:sz w:val="28"/>
          <w:szCs w:val="28"/>
        </w:rPr>
        <w:t xml:space="preserve"> </w:t>
      </w:r>
      <w:r w:rsidR="005045EE">
        <w:rPr>
          <w:rFonts w:ascii="Times New Roman" w:hAnsi="Times New Roman" w:cs="Times New Roman"/>
          <w:sz w:val="28"/>
          <w:szCs w:val="28"/>
        </w:rPr>
        <w:t xml:space="preserve">intellectual </w:t>
      </w:r>
      <w:r>
        <w:rPr>
          <w:rFonts w:ascii="Times New Roman" w:hAnsi="Times New Roman" w:cs="Times New Roman"/>
          <w:sz w:val="28"/>
          <w:szCs w:val="28"/>
        </w:rPr>
        <w:t>capacity</w:t>
      </w:r>
      <w:r w:rsidR="005045EE">
        <w:rPr>
          <w:rFonts w:ascii="Times New Roman" w:hAnsi="Times New Roman" w:cs="Times New Roman"/>
          <w:sz w:val="28"/>
          <w:szCs w:val="28"/>
        </w:rPr>
        <w:t>.</w:t>
      </w:r>
      <w:r>
        <w:rPr>
          <w:rFonts w:ascii="Times New Roman" w:hAnsi="Times New Roman" w:cs="Times New Roman"/>
          <w:sz w:val="28"/>
          <w:szCs w:val="28"/>
        </w:rPr>
        <w:t xml:space="preserve">  This marks the beginning</w:t>
      </w:r>
      <w:r w:rsidR="003B4BB6">
        <w:rPr>
          <w:rFonts w:ascii="Times New Roman" w:hAnsi="Times New Roman" w:cs="Times New Roman"/>
          <w:sz w:val="28"/>
          <w:szCs w:val="28"/>
        </w:rPr>
        <w:t>,</w:t>
      </w:r>
      <w:r>
        <w:rPr>
          <w:rFonts w:ascii="Times New Roman" w:hAnsi="Times New Roman" w:cs="Times New Roman"/>
          <w:sz w:val="28"/>
          <w:szCs w:val="28"/>
        </w:rPr>
        <w:t xml:space="preserve"> if not the end</w:t>
      </w:r>
      <w:r w:rsidR="003B4BB6">
        <w:rPr>
          <w:rFonts w:ascii="Times New Roman" w:hAnsi="Times New Roman" w:cs="Times New Roman"/>
          <w:sz w:val="28"/>
          <w:szCs w:val="28"/>
        </w:rPr>
        <w:t>,</w:t>
      </w:r>
      <w:r>
        <w:rPr>
          <w:rFonts w:ascii="Times New Roman" w:hAnsi="Times New Roman" w:cs="Times New Roman"/>
          <w:sz w:val="28"/>
          <w:szCs w:val="28"/>
        </w:rPr>
        <w:t xml:space="preserve"> of differences between the concepts of legal capacity and </w:t>
      </w:r>
      <w:r w:rsidR="005045EE">
        <w:rPr>
          <w:rFonts w:ascii="Times New Roman" w:hAnsi="Times New Roman" w:cs="Times New Roman"/>
          <w:sz w:val="28"/>
          <w:szCs w:val="28"/>
        </w:rPr>
        <w:t xml:space="preserve">intellectual </w:t>
      </w:r>
      <w:r>
        <w:rPr>
          <w:rFonts w:ascii="Times New Roman" w:hAnsi="Times New Roman" w:cs="Times New Roman"/>
          <w:sz w:val="28"/>
          <w:szCs w:val="28"/>
        </w:rPr>
        <w:t xml:space="preserve">capacity.  The former is a constant in the life of a person but the latter a variable.  Whereas legal capacity is the absolute equalizer in socio-legal affairs, </w:t>
      </w:r>
      <w:r w:rsidR="005045EE">
        <w:rPr>
          <w:rFonts w:ascii="Times New Roman" w:hAnsi="Times New Roman" w:cs="Times New Roman"/>
          <w:sz w:val="28"/>
          <w:szCs w:val="28"/>
        </w:rPr>
        <w:t>intellectual</w:t>
      </w:r>
      <w:r>
        <w:rPr>
          <w:rFonts w:ascii="Times New Roman" w:hAnsi="Times New Roman" w:cs="Times New Roman"/>
          <w:sz w:val="28"/>
          <w:szCs w:val="28"/>
        </w:rPr>
        <w:t xml:space="preserve"> capacity is a relative</w:t>
      </w:r>
      <w:r w:rsidR="005045EE">
        <w:rPr>
          <w:rFonts w:ascii="Times New Roman" w:hAnsi="Times New Roman" w:cs="Times New Roman"/>
          <w:sz w:val="28"/>
          <w:szCs w:val="28"/>
        </w:rPr>
        <w:t xml:space="preserve"> to an individual</w:t>
      </w:r>
      <w:r>
        <w:rPr>
          <w:rFonts w:ascii="Times New Roman" w:hAnsi="Times New Roman" w:cs="Times New Roman"/>
          <w:sz w:val="28"/>
          <w:szCs w:val="28"/>
        </w:rPr>
        <w:t xml:space="preserve">.  Its recognition and operability </w:t>
      </w:r>
      <w:r w:rsidR="005045EE">
        <w:rPr>
          <w:rFonts w:ascii="Times New Roman" w:hAnsi="Times New Roman" w:cs="Times New Roman"/>
          <w:sz w:val="28"/>
          <w:szCs w:val="28"/>
        </w:rPr>
        <w:t>is</w:t>
      </w:r>
      <w:r>
        <w:rPr>
          <w:rFonts w:ascii="Times New Roman" w:hAnsi="Times New Roman" w:cs="Times New Roman"/>
          <w:sz w:val="28"/>
          <w:szCs w:val="28"/>
        </w:rPr>
        <w:t xml:space="preserve"> individualised to the intellectual and verbal capacities of the person.  Hence the necessity of assisted </w:t>
      </w:r>
      <w:r w:rsidR="005045EE">
        <w:rPr>
          <w:rFonts w:ascii="Times New Roman" w:hAnsi="Times New Roman" w:cs="Times New Roman"/>
          <w:sz w:val="28"/>
          <w:szCs w:val="28"/>
        </w:rPr>
        <w:t>decision-making</w:t>
      </w:r>
      <w:r>
        <w:rPr>
          <w:rFonts w:ascii="Times New Roman" w:hAnsi="Times New Roman" w:cs="Times New Roman"/>
          <w:sz w:val="28"/>
          <w:szCs w:val="28"/>
        </w:rPr>
        <w:t>.</w:t>
      </w:r>
    </w:p>
    <w:p w14:paraId="48C9CB57" w14:textId="008AB69B" w:rsidR="00CA0F40" w:rsidRDefault="00CA0F40" w:rsidP="00377AE5">
      <w:pPr>
        <w:spacing w:line="360" w:lineRule="auto"/>
        <w:ind w:left="720" w:hanging="720"/>
        <w:jc w:val="both"/>
        <w:rPr>
          <w:rFonts w:ascii="Times New Roman" w:hAnsi="Times New Roman" w:cs="Times New Roman"/>
          <w:sz w:val="28"/>
          <w:szCs w:val="28"/>
        </w:rPr>
      </w:pPr>
    </w:p>
    <w:p w14:paraId="648BFE4C" w14:textId="786F6300" w:rsidR="00CA0F40" w:rsidRDefault="00CA0F40" w:rsidP="00377AE5">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 xml:space="preserve">These conceptual differences are discussed by the Supreme Court of the United Kingdom in </w:t>
      </w:r>
      <w:r w:rsidRPr="00CA0F40">
        <w:rPr>
          <w:rFonts w:ascii="Times New Roman" w:hAnsi="Times New Roman" w:cs="Times New Roman"/>
          <w:b/>
          <w:bCs/>
          <w:sz w:val="28"/>
          <w:szCs w:val="28"/>
        </w:rPr>
        <w:t>A Local Authority v. JB</w:t>
      </w:r>
      <w:r w:rsidRPr="006C36C5">
        <w:rPr>
          <w:rStyle w:val="FootnoteReference"/>
          <w:rFonts w:ascii="Times New Roman" w:hAnsi="Times New Roman" w:cs="Times New Roman"/>
          <w:sz w:val="28"/>
          <w:szCs w:val="28"/>
        </w:rPr>
        <w:footnoteReference w:id="1"/>
      </w:r>
      <w:r w:rsidRPr="006C36C5">
        <w:rPr>
          <w:rFonts w:ascii="Times New Roman" w:hAnsi="Times New Roman" w:cs="Times New Roman"/>
          <w:sz w:val="28"/>
          <w:szCs w:val="28"/>
        </w:rPr>
        <w:t xml:space="preserve"> </w:t>
      </w:r>
      <w:r>
        <w:rPr>
          <w:rFonts w:ascii="Times New Roman" w:hAnsi="Times New Roman" w:cs="Times New Roman"/>
          <w:sz w:val="28"/>
          <w:szCs w:val="28"/>
        </w:rPr>
        <w:t>in the context of a statu</w:t>
      </w:r>
      <w:r w:rsidR="00027205">
        <w:rPr>
          <w:rFonts w:ascii="Times New Roman" w:hAnsi="Times New Roman" w:cs="Times New Roman"/>
          <w:sz w:val="28"/>
          <w:szCs w:val="28"/>
        </w:rPr>
        <w:t>t</w:t>
      </w:r>
      <w:r>
        <w:rPr>
          <w:rFonts w:ascii="Times New Roman" w:hAnsi="Times New Roman" w:cs="Times New Roman"/>
          <w:sz w:val="28"/>
          <w:szCs w:val="28"/>
        </w:rPr>
        <w:t xml:space="preserve">e </w:t>
      </w:r>
      <w:r>
        <w:rPr>
          <w:rFonts w:ascii="Times New Roman" w:hAnsi="Times New Roman" w:cs="Times New Roman"/>
          <w:sz w:val="28"/>
          <w:szCs w:val="28"/>
        </w:rPr>
        <w:lastRenderedPageBreak/>
        <w:t xml:space="preserve">regulating  the ability </w:t>
      </w:r>
      <w:r w:rsidR="005045EE">
        <w:rPr>
          <w:rFonts w:ascii="Times New Roman" w:hAnsi="Times New Roman" w:cs="Times New Roman"/>
          <w:sz w:val="28"/>
          <w:szCs w:val="28"/>
        </w:rPr>
        <w:t xml:space="preserve">of persons with disabilities </w:t>
      </w:r>
      <w:r>
        <w:rPr>
          <w:rFonts w:ascii="Times New Roman" w:hAnsi="Times New Roman" w:cs="Times New Roman"/>
          <w:sz w:val="28"/>
          <w:szCs w:val="28"/>
        </w:rPr>
        <w:t xml:space="preserve">to choose whether or not to engage in sexual activity.  The Supreme Court </w:t>
      </w:r>
      <w:r w:rsidR="005045EE">
        <w:rPr>
          <w:rFonts w:ascii="Times New Roman" w:hAnsi="Times New Roman" w:cs="Times New Roman"/>
          <w:sz w:val="28"/>
          <w:szCs w:val="28"/>
        </w:rPr>
        <w:t>advances the following propositions</w:t>
      </w:r>
      <w:r w:rsidR="003B4BB6">
        <w:rPr>
          <w:rFonts w:ascii="Times New Roman" w:hAnsi="Times New Roman" w:cs="Times New Roman"/>
          <w:sz w:val="28"/>
          <w:szCs w:val="28"/>
        </w:rPr>
        <w:t>:</w:t>
      </w:r>
      <w:r>
        <w:rPr>
          <w:rFonts w:ascii="Times New Roman" w:hAnsi="Times New Roman" w:cs="Times New Roman"/>
          <w:sz w:val="28"/>
          <w:szCs w:val="28"/>
        </w:rPr>
        <w:t xml:space="preserve"> </w:t>
      </w:r>
    </w:p>
    <w:p w14:paraId="7167120C" w14:textId="662C25D6" w:rsidR="00CA0F40" w:rsidRDefault="00E80D21" w:rsidP="006B1F91">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ab/>
        <w:t>The test for capacity applies to all decisions, whatever their character.</w:t>
      </w:r>
    </w:p>
    <w:p w14:paraId="07ACE685" w14:textId="13FF6763" w:rsidR="00E80D21" w:rsidRDefault="00E80D21" w:rsidP="006B1F91">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5.2</w:t>
      </w:r>
      <w:r>
        <w:rPr>
          <w:rFonts w:ascii="Times New Roman" w:hAnsi="Times New Roman" w:cs="Times New Roman"/>
          <w:sz w:val="28"/>
          <w:szCs w:val="28"/>
        </w:rPr>
        <w:tab/>
        <w:t>Capacity may fluctuate over time, so that a person may have capacity at one time but not at another.</w:t>
      </w:r>
    </w:p>
    <w:p w14:paraId="240D7EEA" w14:textId="3CF4A20E" w:rsidR="00E80D21" w:rsidRDefault="00E80D21" w:rsidP="006B1F91">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5.3</w:t>
      </w:r>
      <w:r>
        <w:rPr>
          <w:rFonts w:ascii="Times New Roman" w:hAnsi="Times New Roman" w:cs="Times New Roman"/>
          <w:sz w:val="28"/>
          <w:szCs w:val="28"/>
        </w:rPr>
        <w:tab/>
        <w:t>The question is whether a person has capacity to make a specific decision at the time when it needs to be made.  Ordinarily, this will involve a general forward-looking assessment made at the date of hearing.  However, if there is evidence of fluctuating capacity then that will be an appropriate qualification of assessment.</w:t>
      </w:r>
    </w:p>
    <w:p w14:paraId="6E953E4F" w14:textId="4B9ED042" w:rsidR="00E80D21" w:rsidRDefault="00E80D21" w:rsidP="006B1F91">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5.4</w:t>
      </w:r>
      <w:r>
        <w:rPr>
          <w:rFonts w:ascii="Times New Roman" w:hAnsi="Times New Roman" w:cs="Times New Roman"/>
          <w:sz w:val="28"/>
          <w:szCs w:val="28"/>
        </w:rPr>
        <w:tab/>
        <w:t>As the assessment of capacity is decision-specific, the court is required to identify the correct formulation of the matter in respect of which it must evaluate whether a person is unable to make a decision for himself.</w:t>
      </w:r>
    </w:p>
    <w:p w14:paraId="01D1C6D1" w14:textId="22E34F69" w:rsidR="00E80D21" w:rsidRDefault="00E80D21" w:rsidP="006B1F91">
      <w:pPr>
        <w:spacing w:line="360" w:lineRule="auto"/>
        <w:ind w:left="2160" w:hanging="720"/>
        <w:jc w:val="both"/>
        <w:rPr>
          <w:rFonts w:ascii="Times New Roman" w:hAnsi="Times New Roman" w:cs="Times New Roman"/>
          <w:sz w:val="28"/>
          <w:szCs w:val="28"/>
        </w:rPr>
      </w:pPr>
      <w:r>
        <w:rPr>
          <w:rFonts w:ascii="Times New Roman" w:hAnsi="Times New Roman" w:cs="Times New Roman"/>
          <w:sz w:val="28"/>
          <w:szCs w:val="28"/>
        </w:rPr>
        <w:t>5.5</w:t>
      </w:r>
      <w:r>
        <w:rPr>
          <w:rFonts w:ascii="Times New Roman" w:hAnsi="Times New Roman" w:cs="Times New Roman"/>
          <w:sz w:val="28"/>
          <w:szCs w:val="28"/>
        </w:rPr>
        <w:tab/>
        <w:t>The correct formulation of the matter then leads to a requirement to identify the information relevant to the decision which includes information about the reasonable foreseeability consequences of deciding one way or another or failing to make the decision.</w:t>
      </w:r>
    </w:p>
    <w:p w14:paraId="04F1BF8E" w14:textId="494E5838" w:rsidR="00E80D21" w:rsidRDefault="00E80D21" w:rsidP="00377AE5">
      <w:pPr>
        <w:spacing w:line="360" w:lineRule="auto"/>
        <w:ind w:left="720" w:hanging="720"/>
        <w:jc w:val="both"/>
        <w:rPr>
          <w:rFonts w:ascii="Times New Roman" w:hAnsi="Times New Roman" w:cs="Times New Roman"/>
          <w:sz w:val="28"/>
          <w:szCs w:val="28"/>
        </w:rPr>
      </w:pPr>
    </w:p>
    <w:p w14:paraId="5D9B2792" w14:textId="78A5D317" w:rsidR="00E80D21" w:rsidRPr="006C36C5" w:rsidRDefault="00E80D21" w:rsidP="00377AE5">
      <w:pPr>
        <w:spacing w:line="360" w:lineRule="auto"/>
        <w:ind w:left="720" w:hanging="720"/>
        <w:jc w:val="both"/>
        <w:rPr>
          <w:rFonts w:ascii="Times New Roman" w:hAnsi="Times New Roman" w:cs="Times New Roman"/>
          <w:b/>
          <w:bCs/>
          <w:sz w:val="28"/>
          <w:szCs w:val="28"/>
        </w:rPr>
      </w:pPr>
      <w:r w:rsidRPr="006C36C5">
        <w:rPr>
          <w:rFonts w:ascii="Times New Roman" w:hAnsi="Times New Roman" w:cs="Times New Roman"/>
          <w:b/>
          <w:bCs/>
          <w:sz w:val="28"/>
          <w:szCs w:val="28"/>
        </w:rPr>
        <w:t>LGBTIQ</w:t>
      </w:r>
      <w:r w:rsidR="00AB5770">
        <w:rPr>
          <w:rFonts w:ascii="Times New Roman" w:hAnsi="Times New Roman" w:cs="Times New Roman"/>
          <w:b/>
          <w:bCs/>
          <w:sz w:val="28"/>
          <w:szCs w:val="28"/>
        </w:rPr>
        <w:t>s</w:t>
      </w:r>
      <w:bookmarkStart w:id="0" w:name="_GoBack"/>
      <w:bookmarkEnd w:id="0"/>
    </w:p>
    <w:p w14:paraId="1ABA3E8D" w14:textId="6F2B7E2A" w:rsidR="00E80D21" w:rsidRDefault="00E80D21"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 xml:space="preserve">Whereas the </w:t>
      </w:r>
      <w:r w:rsidRPr="005045EE">
        <w:rPr>
          <w:rFonts w:ascii="Times New Roman" w:hAnsi="Times New Roman" w:cs="Times New Roman"/>
          <w:b/>
          <w:bCs/>
          <w:sz w:val="28"/>
          <w:szCs w:val="28"/>
        </w:rPr>
        <w:t>Convention on Rights of Persons with Disabilities</w:t>
      </w:r>
      <w:r>
        <w:rPr>
          <w:rFonts w:ascii="Times New Roman" w:hAnsi="Times New Roman" w:cs="Times New Roman"/>
          <w:sz w:val="28"/>
          <w:szCs w:val="28"/>
        </w:rPr>
        <w:t xml:space="preserve"> strives for their equality before the law, no similar convention has so far been </w:t>
      </w:r>
      <w:r>
        <w:rPr>
          <w:rFonts w:ascii="Times New Roman" w:hAnsi="Times New Roman" w:cs="Times New Roman"/>
          <w:sz w:val="28"/>
          <w:szCs w:val="28"/>
        </w:rPr>
        <w:lastRenderedPageBreak/>
        <w:t xml:space="preserve">adopted by the United Nations for the LGBTIQs.   Things </w:t>
      </w:r>
      <w:r w:rsidR="005045EE">
        <w:rPr>
          <w:rFonts w:ascii="Times New Roman" w:hAnsi="Times New Roman" w:cs="Times New Roman"/>
          <w:sz w:val="28"/>
          <w:szCs w:val="28"/>
        </w:rPr>
        <w:t>started</w:t>
      </w:r>
      <w:r>
        <w:rPr>
          <w:rFonts w:ascii="Times New Roman" w:hAnsi="Times New Roman" w:cs="Times New Roman"/>
          <w:sz w:val="28"/>
          <w:szCs w:val="28"/>
        </w:rPr>
        <w:t xml:space="preserve"> mov</w:t>
      </w:r>
      <w:r w:rsidR="005045EE">
        <w:rPr>
          <w:rFonts w:ascii="Times New Roman" w:hAnsi="Times New Roman" w:cs="Times New Roman"/>
          <w:sz w:val="28"/>
          <w:szCs w:val="28"/>
        </w:rPr>
        <w:t>ing</w:t>
      </w:r>
      <w:r>
        <w:rPr>
          <w:rFonts w:ascii="Times New Roman" w:hAnsi="Times New Roman" w:cs="Times New Roman"/>
          <w:sz w:val="28"/>
          <w:szCs w:val="28"/>
        </w:rPr>
        <w:t xml:space="preserve"> for the better in 2011 when the UN Human Rights Council adopted its first resolution on human rights, sexual orientation and gender identity.  The High Commissioner for Human Rights published a report documenting violence and discrimination against this group.   In his address </w:t>
      </w:r>
      <w:r w:rsidR="006C36C5">
        <w:rPr>
          <w:rFonts w:ascii="Times New Roman" w:hAnsi="Times New Roman" w:cs="Times New Roman"/>
          <w:sz w:val="28"/>
          <w:szCs w:val="28"/>
        </w:rPr>
        <w:t>to mark Human Rights on 10 December 2012</w:t>
      </w:r>
      <w:r w:rsidR="006C36C5">
        <w:rPr>
          <w:rStyle w:val="FootnoteReference"/>
          <w:rFonts w:ascii="Times New Roman" w:hAnsi="Times New Roman" w:cs="Times New Roman"/>
          <w:sz w:val="28"/>
          <w:szCs w:val="28"/>
        </w:rPr>
        <w:footnoteReference w:id="2"/>
      </w:r>
      <w:r w:rsidR="006C36C5">
        <w:rPr>
          <w:rFonts w:ascii="Times New Roman" w:hAnsi="Times New Roman" w:cs="Times New Roman"/>
          <w:sz w:val="28"/>
          <w:szCs w:val="28"/>
        </w:rPr>
        <w:t>, Ban Ki-moon, the Secretary General of the United Nations remarked:</w:t>
      </w:r>
    </w:p>
    <w:p w14:paraId="3EA0860C" w14:textId="0A689C84" w:rsidR="006C36C5" w:rsidRPr="006B1F91" w:rsidRDefault="006C36C5"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“It is an outrage that so many countries continue to criminalise people simply for loving another human being of the same sex.  In some cases, new discriminatory laws are being introduced.  In others, these laws are not home-grown; they were</w:t>
      </w:r>
      <w:r w:rsidR="005A220D" w:rsidRPr="006B1F91">
        <w:rPr>
          <w:rFonts w:ascii="Times New Roman" w:hAnsi="Times New Roman" w:cs="Times New Roman"/>
          <w:sz w:val="24"/>
          <w:szCs w:val="24"/>
        </w:rPr>
        <w:t xml:space="preserve"> inherited from former colonial powers.    Laws rooted in the prejudices of the 19</w:t>
      </w:r>
      <w:r w:rsidR="005A220D" w:rsidRPr="006B1F91">
        <w:rPr>
          <w:rFonts w:ascii="Times New Roman" w:hAnsi="Times New Roman" w:cs="Times New Roman"/>
          <w:sz w:val="24"/>
          <w:szCs w:val="24"/>
          <w:vertAlign w:val="superscript"/>
        </w:rPr>
        <w:t>th</w:t>
      </w:r>
      <w:r w:rsidR="005A220D" w:rsidRPr="006B1F91">
        <w:rPr>
          <w:rFonts w:ascii="Times New Roman" w:hAnsi="Times New Roman" w:cs="Times New Roman"/>
          <w:sz w:val="24"/>
          <w:szCs w:val="24"/>
        </w:rPr>
        <w:t xml:space="preserve"> century are fuelling 21</w:t>
      </w:r>
      <w:r w:rsidR="005A220D" w:rsidRPr="006B1F91">
        <w:rPr>
          <w:rFonts w:ascii="Times New Roman" w:hAnsi="Times New Roman" w:cs="Times New Roman"/>
          <w:sz w:val="24"/>
          <w:szCs w:val="24"/>
          <w:vertAlign w:val="superscript"/>
        </w:rPr>
        <w:t>st</w:t>
      </w:r>
      <w:r w:rsidR="005A220D" w:rsidRPr="006B1F91">
        <w:rPr>
          <w:rFonts w:ascii="Times New Roman" w:hAnsi="Times New Roman" w:cs="Times New Roman"/>
          <w:sz w:val="24"/>
          <w:szCs w:val="24"/>
        </w:rPr>
        <w:t xml:space="preserve"> century hate.  As long as the law treats certain individuals as contemptible, criminal, worthy only of punishment, broader society will have a licence to do the same.</w:t>
      </w:r>
    </w:p>
    <w:p w14:paraId="7A64AA12" w14:textId="53ECFD5D" w:rsidR="005A220D" w:rsidRPr="006B1F91" w:rsidRDefault="005A220D"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 xml:space="preserve">These laws must go.  We need to replace them with laws that provide adequate protection against discrimination, including on the basis of sexual orientation and </w:t>
      </w:r>
      <w:r w:rsidR="0031643C" w:rsidRPr="006B1F91">
        <w:rPr>
          <w:rFonts w:ascii="Times New Roman" w:hAnsi="Times New Roman" w:cs="Times New Roman"/>
          <w:sz w:val="24"/>
          <w:szCs w:val="24"/>
        </w:rPr>
        <w:t>g</w:t>
      </w:r>
      <w:r w:rsidRPr="006B1F91">
        <w:rPr>
          <w:rFonts w:ascii="Times New Roman" w:hAnsi="Times New Roman" w:cs="Times New Roman"/>
          <w:sz w:val="24"/>
          <w:szCs w:val="24"/>
        </w:rPr>
        <w:t>ender identity.  We also need a broad public education effort to help people to overcome hate and fear and accept one another for who they are.</w:t>
      </w:r>
    </w:p>
    <w:p w14:paraId="33C7BBD7" w14:textId="45C0BCF7" w:rsidR="005A220D" w:rsidRPr="006B1F91" w:rsidRDefault="005A220D"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When I meet with leaders from around the world I raise my voice for equality for the LGBT members of our human family.  Many leaders say they wish they could do more, but they point to public opinion as a barrier to progress.  People also cite religious beliefs and cultural sentiments.</w:t>
      </w:r>
    </w:p>
    <w:p w14:paraId="62109FB4" w14:textId="0E1E23F4" w:rsidR="005A220D" w:rsidRPr="006B1F91" w:rsidRDefault="005A220D"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I fully respect peoples’ rights to believe and to follow in their own lives whatever religious teachings they choose. This, too, is a human right.  But there can be no excuse for violence or discrimination, ever.</w:t>
      </w:r>
    </w:p>
    <w:p w14:paraId="5C976A8A" w14:textId="35560169" w:rsidR="005A220D" w:rsidRPr="006B1F91" w:rsidRDefault="005A220D"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I understand it can be difficult to s</w:t>
      </w:r>
      <w:r w:rsidR="004300E5" w:rsidRPr="006B1F91">
        <w:rPr>
          <w:rFonts w:ascii="Times New Roman" w:hAnsi="Times New Roman" w:cs="Times New Roman"/>
          <w:sz w:val="24"/>
          <w:szCs w:val="24"/>
        </w:rPr>
        <w:t>t</w:t>
      </w:r>
      <w:r w:rsidRPr="006B1F91">
        <w:rPr>
          <w:rFonts w:ascii="Times New Roman" w:hAnsi="Times New Roman" w:cs="Times New Roman"/>
          <w:sz w:val="24"/>
          <w:szCs w:val="24"/>
        </w:rPr>
        <w:t>and up to public opinion.  But just because a majority disapproves of certain individuals does not entitle the state to withhold their basic</w:t>
      </w:r>
      <w:r w:rsidR="00450D25" w:rsidRPr="006B1F91">
        <w:rPr>
          <w:rFonts w:ascii="Times New Roman" w:hAnsi="Times New Roman" w:cs="Times New Roman"/>
          <w:sz w:val="24"/>
          <w:szCs w:val="24"/>
        </w:rPr>
        <w:t xml:space="preserve"> rights.  Democracy is more than majority rule.  It requires defending vulnerable minorities from hostile majorities.  Governments have a duty to challenge prejudice, not to yield to it.”</w:t>
      </w:r>
    </w:p>
    <w:p w14:paraId="03377927" w14:textId="022F6EE4" w:rsidR="00450D25" w:rsidRDefault="00450D25" w:rsidP="00E80D21">
      <w:pPr>
        <w:spacing w:line="360" w:lineRule="auto"/>
        <w:ind w:left="720" w:hanging="720"/>
        <w:jc w:val="both"/>
        <w:rPr>
          <w:rFonts w:ascii="Times New Roman" w:hAnsi="Times New Roman" w:cs="Times New Roman"/>
          <w:sz w:val="28"/>
          <w:szCs w:val="28"/>
        </w:rPr>
      </w:pPr>
    </w:p>
    <w:p w14:paraId="70BDCA43" w14:textId="7DDC4545" w:rsidR="00450D25" w:rsidRDefault="00450D25"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Two years later on 22 May 2014, the </w:t>
      </w:r>
      <w:r w:rsidRPr="00346AE2">
        <w:rPr>
          <w:rFonts w:ascii="Times New Roman" w:hAnsi="Times New Roman" w:cs="Times New Roman"/>
          <w:b/>
          <w:bCs/>
          <w:sz w:val="28"/>
          <w:szCs w:val="28"/>
        </w:rPr>
        <w:t>African Commission on Human and People’s Rights</w:t>
      </w:r>
      <w:r>
        <w:rPr>
          <w:rFonts w:ascii="Times New Roman" w:hAnsi="Times New Roman" w:cs="Times New Roman"/>
          <w:sz w:val="28"/>
          <w:szCs w:val="28"/>
        </w:rPr>
        <w:t xml:space="preserve"> woke up from its slumber and adopted </w:t>
      </w:r>
      <w:r w:rsidRPr="005045EE">
        <w:rPr>
          <w:rFonts w:ascii="Times New Roman" w:hAnsi="Times New Roman" w:cs="Times New Roman"/>
          <w:b/>
          <w:bCs/>
          <w:sz w:val="28"/>
          <w:szCs w:val="28"/>
        </w:rPr>
        <w:t xml:space="preserve">Resolution </w:t>
      </w:r>
      <w:r w:rsidRPr="005045EE">
        <w:rPr>
          <w:rFonts w:ascii="Times New Roman" w:hAnsi="Times New Roman" w:cs="Times New Roman"/>
          <w:b/>
          <w:bCs/>
          <w:sz w:val="28"/>
          <w:szCs w:val="28"/>
        </w:rPr>
        <w:lastRenderedPageBreak/>
        <w:t>274</w:t>
      </w:r>
      <w:r>
        <w:rPr>
          <w:rStyle w:val="FootnoteReference"/>
          <w:rFonts w:ascii="Times New Roman" w:hAnsi="Times New Roman" w:cs="Times New Roman"/>
          <w:sz w:val="28"/>
          <w:szCs w:val="28"/>
        </w:rPr>
        <w:footnoteReference w:id="3"/>
      </w:r>
      <w:r>
        <w:rPr>
          <w:rFonts w:ascii="Times New Roman" w:hAnsi="Times New Roman" w:cs="Times New Roman"/>
          <w:sz w:val="28"/>
          <w:szCs w:val="28"/>
        </w:rPr>
        <w:t>.  The resolution</w:t>
      </w:r>
      <w:r w:rsidR="00346AE2">
        <w:rPr>
          <w:rFonts w:ascii="Times New Roman" w:hAnsi="Times New Roman" w:cs="Times New Roman"/>
          <w:sz w:val="28"/>
          <w:szCs w:val="28"/>
        </w:rPr>
        <w:t xml:space="preserve"> condemns violence and human rights violations against persons on the basis of real or imputed sexual orientation or gender identity.  Mr. Justice </w:t>
      </w:r>
      <w:r w:rsidR="003B4BB6">
        <w:rPr>
          <w:rFonts w:ascii="Times New Roman" w:hAnsi="Times New Roman" w:cs="Times New Roman"/>
          <w:sz w:val="28"/>
          <w:szCs w:val="28"/>
        </w:rPr>
        <w:t xml:space="preserve">Edwin </w:t>
      </w:r>
      <w:r w:rsidR="00346AE2">
        <w:rPr>
          <w:rFonts w:ascii="Times New Roman" w:hAnsi="Times New Roman" w:cs="Times New Roman"/>
          <w:sz w:val="28"/>
          <w:szCs w:val="28"/>
        </w:rPr>
        <w:t xml:space="preserve">Cameron, </w:t>
      </w:r>
      <w:r w:rsidR="005045EE">
        <w:rPr>
          <w:rFonts w:ascii="Times New Roman" w:hAnsi="Times New Roman" w:cs="Times New Roman"/>
          <w:sz w:val="28"/>
          <w:szCs w:val="28"/>
        </w:rPr>
        <w:t>a respectable and respected</w:t>
      </w:r>
      <w:r w:rsidR="00346AE2">
        <w:rPr>
          <w:rFonts w:ascii="Times New Roman" w:hAnsi="Times New Roman" w:cs="Times New Roman"/>
          <w:sz w:val="28"/>
          <w:szCs w:val="28"/>
        </w:rPr>
        <w:t xml:space="preserve"> openly gay judge, writes</w:t>
      </w:r>
      <w:r w:rsidR="00346AE2">
        <w:rPr>
          <w:rStyle w:val="FootnoteReference"/>
          <w:rFonts w:ascii="Times New Roman" w:hAnsi="Times New Roman" w:cs="Times New Roman"/>
          <w:sz w:val="28"/>
          <w:szCs w:val="28"/>
        </w:rPr>
        <w:footnoteReference w:id="4"/>
      </w:r>
      <w:r w:rsidR="00346AE2">
        <w:rPr>
          <w:rFonts w:ascii="Times New Roman" w:hAnsi="Times New Roman" w:cs="Times New Roman"/>
          <w:sz w:val="28"/>
          <w:szCs w:val="28"/>
        </w:rPr>
        <w:t xml:space="preserve"> as follows on the plight of LGBTI</w:t>
      </w:r>
      <w:r w:rsidR="005045EE">
        <w:rPr>
          <w:rFonts w:ascii="Times New Roman" w:hAnsi="Times New Roman" w:cs="Times New Roman"/>
          <w:sz w:val="28"/>
          <w:szCs w:val="28"/>
        </w:rPr>
        <w:t>Q</w:t>
      </w:r>
      <w:r w:rsidR="00346AE2">
        <w:rPr>
          <w:rFonts w:ascii="Times New Roman" w:hAnsi="Times New Roman" w:cs="Times New Roman"/>
          <w:sz w:val="28"/>
          <w:szCs w:val="28"/>
        </w:rPr>
        <w:t xml:space="preserve"> community:</w:t>
      </w:r>
    </w:p>
    <w:p w14:paraId="25E1CA7D" w14:textId="40A0C67C" w:rsidR="00826F39" w:rsidRPr="006B1F91" w:rsidRDefault="00826F39"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“For us in the LGBTI community, three large challenges remain.</w:t>
      </w:r>
    </w:p>
    <w:p w14:paraId="0DAE806B" w14:textId="72EB4940" w:rsidR="00826F39" w:rsidRPr="006B1F91" w:rsidRDefault="00826F39"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First, silence and invisibility remain the great suppressants of progress.  Unlike race and gender our defining condition is generally invisible.</w:t>
      </w:r>
    </w:p>
    <w:p w14:paraId="618D468E" w14:textId="47662405" w:rsidR="00826F39" w:rsidRPr="006B1F91" w:rsidRDefault="00826F39"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 xml:space="preserve">Second, we continue to be inhibited by shame, because the very nature of our differentiation lies in sexual desire and sexual functioning – and so much shame still attends the subject of sex. </w:t>
      </w:r>
    </w:p>
    <w:p w14:paraId="3F0330DD" w14:textId="2CBE82AB" w:rsidR="00826F39" w:rsidRPr="006B1F91" w:rsidRDefault="00826F39"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Third, the strength and depth of the history of our repression, often impelled by biblical teaching, remain enormous</w:t>
      </w:r>
      <w:r w:rsidR="005045EE">
        <w:rPr>
          <w:rFonts w:ascii="Times New Roman" w:hAnsi="Times New Roman" w:cs="Times New Roman"/>
          <w:sz w:val="24"/>
          <w:szCs w:val="24"/>
        </w:rPr>
        <w:t>.  I</w:t>
      </w:r>
      <w:r w:rsidRPr="006B1F91">
        <w:rPr>
          <w:rFonts w:ascii="Times New Roman" w:hAnsi="Times New Roman" w:cs="Times New Roman"/>
          <w:sz w:val="24"/>
          <w:szCs w:val="24"/>
        </w:rPr>
        <w:t>t is particularly important to emphasise, on an occasion hosted by the Uj</w:t>
      </w:r>
      <w:r w:rsidR="00E76D4F" w:rsidRPr="006B1F91">
        <w:rPr>
          <w:rFonts w:ascii="Times New Roman" w:hAnsi="Times New Roman" w:cs="Times New Roman"/>
          <w:sz w:val="24"/>
          <w:szCs w:val="24"/>
        </w:rPr>
        <w:t>a</w:t>
      </w:r>
      <w:r w:rsidRPr="006B1F91">
        <w:rPr>
          <w:rFonts w:ascii="Times New Roman" w:hAnsi="Times New Roman" w:cs="Times New Roman"/>
          <w:sz w:val="24"/>
          <w:szCs w:val="24"/>
        </w:rPr>
        <w:t>maa Centre, the disgraceful and</w:t>
      </w:r>
      <w:r w:rsidR="00E76D4F" w:rsidRPr="006B1F91">
        <w:rPr>
          <w:rFonts w:ascii="Times New Roman" w:hAnsi="Times New Roman" w:cs="Times New Roman"/>
          <w:sz w:val="24"/>
          <w:szCs w:val="24"/>
        </w:rPr>
        <w:t xml:space="preserve"> </w:t>
      </w:r>
      <w:r w:rsidRPr="006B1F91">
        <w:rPr>
          <w:rFonts w:ascii="Times New Roman" w:hAnsi="Times New Roman" w:cs="Times New Roman"/>
          <w:sz w:val="24"/>
          <w:szCs w:val="24"/>
        </w:rPr>
        <w:t xml:space="preserve">destructive role </w:t>
      </w:r>
      <w:r w:rsidR="00E76D4F" w:rsidRPr="006B1F91">
        <w:rPr>
          <w:rFonts w:ascii="Times New Roman" w:hAnsi="Times New Roman" w:cs="Times New Roman"/>
          <w:sz w:val="24"/>
          <w:szCs w:val="24"/>
        </w:rPr>
        <w:t>t</w:t>
      </w:r>
      <w:r w:rsidRPr="006B1F91">
        <w:rPr>
          <w:rFonts w:ascii="Times New Roman" w:hAnsi="Times New Roman" w:cs="Times New Roman"/>
          <w:sz w:val="24"/>
          <w:szCs w:val="24"/>
        </w:rPr>
        <w:t>hat those who call themselves men and</w:t>
      </w:r>
      <w:r w:rsidR="00E76D4F" w:rsidRPr="006B1F91">
        <w:rPr>
          <w:rFonts w:ascii="Times New Roman" w:hAnsi="Times New Roman" w:cs="Times New Roman"/>
          <w:sz w:val="24"/>
          <w:szCs w:val="24"/>
        </w:rPr>
        <w:t xml:space="preserve"> </w:t>
      </w:r>
      <w:r w:rsidRPr="006B1F91">
        <w:rPr>
          <w:rFonts w:ascii="Times New Roman" w:hAnsi="Times New Roman" w:cs="Times New Roman"/>
          <w:sz w:val="24"/>
          <w:szCs w:val="24"/>
        </w:rPr>
        <w:t>women of the spirit, and of God, have played in persecuting LGBTI people.</w:t>
      </w:r>
    </w:p>
    <w:p w14:paraId="6C0A9F56" w14:textId="48564EE9" w:rsidR="00826F39" w:rsidRPr="006B1F91" w:rsidRDefault="00826F39"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 xml:space="preserve">Despite these continuing </w:t>
      </w:r>
      <w:r w:rsidR="00E76D4F" w:rsidRPr="006B1F91">
        <w:rPr>
          <w:rFonts w:ascii="Times New Roman" w:hAnsi="Times New Roman" w:cs="Times New Roman"/>
          <w:sz w:val="24"/>
          <w:szCs w:val="24"/>
        </w:rPr>
        <w:t>obstacles</w:t>
      </w:r>
      <w:r w:rsidRPr="006B1F91">
        <w:rPr>
          <w:rFonts w:ascii="Times New Roman" w:hAnsi="Times New Roman" w:cs="Times New Roman"/>
          <w:sz w:val="24"/>
          <w:szCs w:val="24"/>
        </w:rPr>
        <w:t xml:space="preserve">, the </w:t>
      </w:r>
      <w:r w:rsidR="00E76D4F" w:rsidRPr="006B1F91">
        <w:rPr>
          <w:rFonts w:ascii="Times New Roman" w:hAnsi="Times New Roman" w:cs="Times New Roman"/>
          <w:sz w:val="24"/>
          <w:szCs w:val="24"/>
        </w:rPr>
        <w:t>manifestation of particularly black LGBTI self-identification throughout Africa heralds irreversible change across our continent.</w:t>
      </w:r>
    </w:p>
    <w:p w14:paraId="1286A6D8" w14:textId="321E0E59" w:rsidR="00E76D4F" w:rsidRPr="006B1F91" w:rsidRDefault="00E76D4F"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Why is this?  The first is fear of change in circumstances of unstable transition.</w:t>
      </w:r>
    </w:p>
    <w:p w14:paraId="2F8E91BF" w14:textId="46192DAB" w:rsidR="00E76D4F" w:rsidRPr="006B1F91" w:rsidRDefault="00E76D4F"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The second is that LGBTI identify and practices challenge traditional gender roles and authority.  Our lives and our loves defy received concepts of sexuality.  This means we also challenge gender-based hierarchies.  We defy the patriarchy that lies like a heavy hand across much of our world and our continent.  The result is rage, insecurity and violence.”</w:t>
      </w:r>
    </w:p>
    <w:p w14:paraId="37A3AB19" w14:textId="1B152B24" w:rsidR="00E76D4F" w:rsidRDefault="00E76D4F"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1624C6EB" w14:textId="4CF5A453" w:rsidR="00E76D4F" w:rsidRDefault="00E76D4F"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In this Kingdom</w:t>
      </w:r>
      <w:r w:rsidR="00A754A8">
        <w:rPr>
          <w:rFonts w:ascii="Times New Roman" w:hAnsi="Times New Roman" w:cs="Times New Roman"/>
          <w:sz w:val="28"/>
          <w:szCs w:val="28"/>
        </w:rPr>
        <w:t xml:space="preserve"> of Lesotho</w:t>
      </w:r>
      <w:r>
        <w:rPr>
          <w:rFonts w:ascii="Times New Roman" w:hAnsi="Times New Roman" w:cs="Times New Roman"/>
          <w:sz w:val="28"/>
          <w:szCs w:val="28"/>
        </w:rPr>
        <w:t xml:space="preserve">, the LGBTIQ community </w:t>
      </w:r>
      <w:r w:rsidR="00A754A8">
        <w:rPr>
          <w:rFonts w:ascii="Times New Roman" w:hAnsi="Times New Roman" w:cs="Times New Roman"/>
          <w:sz w:val="28"/>
          <w:szCs w:val="28"/>
        </w:rPr>
        <w:t xml:space="preserve">factually </w:t>
      </w:r>
      <w:r>
        <w:rPr>
          <w:rFonts w:ascii="Times New Roman" w:hAnsi="Times New Roman" w:cs="Times New Roman"/>
          <w:sz w:val="28"/>
          <w:szCs w:val="28"/>
        </w:rPr>
        <w:t xml:space="preserve">exists as part of society.  This was attested </w:t>
      </w:r>
      <w:r w:rsidR="00A754A8">
        <w:rPr>
          <w:rFonts w:ascii="Times New Roman" w:hAnsi="Times New Roman" w:cs="Times New Roman"/>
          <w:sz w:val="28"/>
          <w:szCs w:val="28"/>
        </w:rPr>
        <w:t>t</w:t>
      </w:r>
      <w:r>
        <w:rPr>
          <w:rFonts w:ascii="Times New Roman" w:hAnsi="Times New Roman" w:cs="Times New Roman"/>
          <w:sz w:val="28"/>
          <w:szCs w:val="28"/>
        </w:rPr>
        <w:t>o in 2016 by the People’s Matrix organisation and the Population Services International (PSI) in their studies.  The</w:t>
      </w:r>
      <w:r w:rsidR="00A754A8">
        <w:rPr>
          <w:rFonts w:ascii="Times New Roman" w:hAnsi="Times New Roman" w:cs="Times New Roman"/>
          <w:sz w:val="28"/>
          <w:szCs w:val="28"/>
        </w:rPr>
        <w:t>ir</w:t>
      </w:r>
      <w:r>
        <w:rPr>
          <w:rFonts w:ascii="Times New Roman" w:hAnsi="Times New Roman" w:cs="Times New Roman"/>
          <w:sz w:val="28"/>
          <w:szCs w:val="28"/>
        </w:rPr>
        <w:t xml:space="preserve"> members did not </w:t>
      </w:r>
      <w:r w:rsidR="00A754A8">
        <w:rPr>
          <w:rFonts w:ascii="Times New Roman" w:hAnsi="Times New Roman" w:cs="Times New Roman"/>
          <w:sz w:val="28"/>
          <w:szCs w:val="28"/>
        </w:rPr>
        <w:t xml:space="preserve">then </w:t>
      </w:r>
      <w:r>
        <w:rPr>
          <w:rFonts w:ascii="Times New Roman" w:hAnsi="Times New Roman" w:cs="Times New Roman"/>
          <w:sz w:val="28"/>
          <w:szCs w:val="28"/>
        </w:rPr>
        <w:t>come out in the open a</w:t>
      </w:r>
      <w:r w:rsidR="00AB3A16">
        <w:rPr>
          <w:rFonts w:ascii="Times New Roman" w:hAnsi="Times New Roman" w:cs="Times New Roman"/>
          <w:sz w:val="28"/>
          <w:szCs w:val="28"/>
        </w:rPr>
        <w:t>s</w:t>
      </w:r>
      <w:r>
        <w:rPr>
          <w:rFonts w:ascii="Times New Roman" w:hAnsi="Times New Roman" w:cs="Times New Roman"/>
          <w:sz w:val="28"/>
          <w:szCs w:val="28"/>
        </w:rPr>
        <w:t xml:space="preserve"> they are now doing.  The reasons </w:t>
      </w:r>
      <w:r w:rsidR="00A754A8">
        <w:rPr>
          <w:rFonts w:ascii="Times New Roman" w:hAnsi="Times New Roman" w:cs="Times New Roman"/>
          <w:sz w:val="28"/>
          <w:szCs w:val="28"/>
        </w:rPr>
        <w:t xml:space="preserve">for their hiding </w:t>
      </w:r>
      <w:r>
        <w:rPr>
          <w:rFonts w:ascii="Times New Roman" w:hAnsi="Times New Roman" w:cs="Times New Roman"/>
          <w:sz w:val="28"/>
          <w:szCs w:val="28"/>
        </w:rPr>
        <w:t>were articulated thus</w:t>
      </w:r>
      <w:r>
        <w:rPr>
          <w:rStyle w:val="FootnoteReference"/>
          <w:rFonts w:ascii="Times New Roman" w:hAnsi="Times New Roman" w:cs="Times New Roman"/>
          <w:sz w:val="28"/>
          <w:szCs w:val="28"/>
        </w:rPr>
        <w:footnoteReference w:id="5"/>
      </w:r>
      <w:r>
        <w:rPr>
          <w:rFonts w:ascii="Times New Roman" w:hAnsi="Times New Roman" w:cs="Times New Roman"/>
          <w:sz w:val="28"/>
          <w:szCs w:val="28"/>
        </w:rPr>
        <w:t>:</w:t>
      </w:r>
    </w:p>
    <w:p w14:paraId="60AF805C" w14:textId="27A4A12A" w:rsidR="00072925" w:rsidRPr="006B1F91" w:rsidRDefault="00072925"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lastRenderedPageBreak/>
        <w:t>“Living a charade is one of the injustices society has foisted on the gay community.  They are force</w:t>
      </w:r>
      <w:r w:rsidR="00AB3A16" w:rsidRPr="006B1F91">
        <w:rPr>
          <w:rFonts w:ascii="Times New Roman" w:hAnsi="Times New Roman" w:cs="Times New Roman"/>
          <w:sz w:val="24"/>
          <w:szCs w:val="24"/>
        </w:rPr>
        <w:t>d</w:t>
      </w:r>
      <w:r w:rsidRPr="006B1F91">
        <w:rPr>
          <w:rFonts w:ascii="Times New Roman" w:hAnsi="Times New Roman" w:cs="Times New Roman"/>
          <w:sz w:val="24"/>
          <w:szCs w:val="24"/>
        </w:rPr>
        <w:t xml:space="preserve"> into shameful silence; they are forced to conform to societal norms and expectations as well as family pressures which compels a lot of gay men to marry despite knowing that they are attracted to other men.  To tally with conformity, they live double lives, have a family but have a life elsewhere where they find comfort.</w:t>
      </w:r>
    </w:p>
    <w:p w14:paraId="4C77EE90" w14:textId="71C77E34" w:rsidR="00072925" w:rsidRPr="006B1F91" w:rsidRDefault="00072925"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“We have gays, MSM and those who are bisexual.  The communities sexually connect somehow so there is need to break the silence.  Gays are judged or stereotyped not realising that the forced silence is the key contributor of HIV infections.</w:t>
      </w:r>
    </w:p>
    <w:p w14:paraId="300E5072" w14:textId="0D4188B4" w:rsidR="00072925" w:rsidRPr="006B1F91" w:rsidRDefault="00072925"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With rejection comes fear and with it comes reluctance to disclose.”</w:t>
      </w:r>
    </w:p>
    <w:p w14:paraId="1AC87F4F" w14:textId="7F478467" w:rsidR="00072925" w:rsidRDefault="00072925" w:rsidP="00E80D21">
      <w:pPr>
        <w:spacing w:line="360" w:lineRule="auto"/>
        <w:ind w:left="720" w:hanging="720"/>
        <w:jc w:val="both"/>
        <w:rPr>
          <w:rFonts w:ascii="Times New Roman" w:hAnsi="Times New Roman" w:cs="Times New Roman"/>
          <w:sz w:val="28"/>
          <w:szCs w:val="28"/>
        </w:rPr>
      </w:pPr>
    </w:p>
    <w:p w14:paraId="75AF6F75" w14:textId="48E0075E" w:rsidR="00694BB3" w:rsidRPr="00AB3A16" w:rsidRDefault="00694BB3" w:rsidP="00E80D21">
      <w:pPr>
        <w:spacing w:line="360" w:lineRule="auto"/>
        <w:ind w:left="720" w:hanging="720"/>
        <w:jc w:val="both"/>
        <w:rPr>
          <w:rFonts w:ascii="Times New Roman" w:hAnsi="Times New Roman" w:cs="Times New Roman"/>
          <w:b/>
          <w:bCs/>
          <w:sz w:val="28"/>
          <w:szCs w:val="28"/>
        </w:rPr>
      </w:pPr>
      <w:r w:rsidRPr="00AB3A16">
        <w:rPr>
          <w:rFonts w:ascii="Times New Roman" w:hAnsi="Times New Roman" w:cs="Times New Roman"/>
          <w:b/>
          <w:bCs/>
          <w:sz w:val="28"/>
          <w:szCs w:val="28"/>
        </w:rPr>
        <w:t>What Are the Structural Barriers?</w:t>
      </w:r>
    </w:p>
    <w:p w14:paraId="38BCC85A" w14:textId="588F51C3" w:rsidR="00694BB3" w:rsidRDefault="00694BB3"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 xml:space="preserve">Article 5 of the </w:t>
      </w:r>
      <w:r w:rsidRPr="00A754A8">
        <w:rPr>
          <w:rFonts w:ascii="Times New Roman" w:hAnsi="Times New Roman" w:cs="Times New Roman"/>
          <w:b/>
          <w:bCs/>
          <w:sz w:val="28"/>
          <w:szCs w:val="28"/>
        </w:rPr>
        <w:t>Convention on Rights of Persons with Disabilities</w:t>
      </w:r>
      <w:r>
        <w:rPr>
          <w:rFonts w:ascii="Times New Roman" w:hAnsi="Times New Roman" w:cs="Times New Roman"/>
          <w:sz w:val="28"/>
          <w:szCs w:val="28"/>
        </w:rPr>
        <w:t xml:space="preserve"> lays down the principle of reasonable accommodation </w:t>
      </w:r>
      <w:r w:rsidR="00C21B00">
        <w:rPr>
          <w:rFonts w:ascii="Times New Roman" w:hAnsi="Times New Roman" w:cs="Times New Roman"/>
          <w:sz w:val="28"/>
          <w:szCs w:val="28"/>
        </w:rPr>
        <w:t>which</w:t>
      </w:r>
      <w:r>
        <w:rPr>
          <w:rFonts w:ascii="Times New Roman" w:hAnsi="Times New Roman" w:cs="Times New Roman"/>
          <w:sz w:val="28"/>
          <w:szCs w:val="28"/>
        </w:rPr>
        <w:t xml:space="preserve"> mean</w:t>
      </w:r>
      <w:r w:rsidR="00C21B00">
        <w:rPr>
          <w:rFonts w:ascii="Times New Roman" w:hAnsi="Times New Roman" w:cs="Times New Roman"/>
          <w:sz w:val="28"/>
          <w:szCs w:val="28"/>
        </w:rPr>
        <w:t>s</w:t>
      </w:r>
      <w:r>
        <w:rPr>
          <w:rFonts w:ascii="Times New Roman" w:hAnsi="Times New Roman" w:cs="Times New Roman"/>
          <w:sz w:val="28"/>
          <w:szCs w:val="28"/>
        </w:rPr>
        <w:t>:</w:t>
      </w:r>
    </w:p>
    <w:p w14:paraId="2969EC10" w14:textId="6383DDF2" w:rsidR="00694BB3" w:rsidRPr="006B1F91" w:rsidRDefault="00694BB3"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70F75A2D" w14:textId="5C4B7126" w:rsidR="00213B3E" w:rsidRDefault="00213B3E" w:rsidP="00E80D21">
      <w:pPr>
        <w:spacing w:line="360" w:lineRule="auto"/>
        <w:ind w:left="720" w:hanging="720"/>
        <w:jc w:val="both"/>
        <w:rPr>
          <w:rFonts w:ascii="Times New Roman" w:hAnsi="Times New Roman" w:cs="Times New Roman"/>
          <w:sz w:val="28"/>
          <w:szCs w:val="28"/>
        </w:rPr>
      </w:pPr>
    </w:p>
    <w:p w14:paraId="7FD657B7" w14:textId="51CDE054" w:rsidR="00C21B00" w:rsidRDefault="00C21B00"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This principle finds expression in section 3 of the </w:t>
      </w:r>
      <w:r w:rsidRPr="00C21B00">
        <w:rPr>
          <w:rFonts w:ascii="Times New Roman" w:hAnsi="Times New Roman" w:cs="Times New Roman"/>
          <w:b/>
          <w:bCs/>
          <w:sz w:val="28"/>
          <w:szCs w:val="28"/>
        </w:rPr>
        <w:t>Persons with Disability Equity Act No.2 of 2021</w:t>
      </w:r>
      <w:r>
        <w:rPr>
          <w:rFonts w:ascii="Times New Roman" w:hAnsi="Times New Roman" w:cs="Times New Roman"/>
          <w:sz w:val="28"/>
          <w:szCs w:val="28"/>
        </w:rPr>
        <w:t xml:space="preserve"> which provides that:</w:t>
      </w:r>
    </w:p>
    <w:p w14:paraId="6223C843" w14:textId="514ABADD" w:rsidR="00C21B00" w:rsidRDefault="00C21B00" w:rsidP="00C21B00">
      <w:pPr>
        <w:spacing w:line="240" w:lineRule="auto"/>
        <w:ind w:left="2160"/>
        <w:jc w:val="both"/>
        <w:rPr>
          <w:rFonts w:ascii="Times New Roman" w:hAnsi="Times New Roman" w:cs="Times New Roman"/>
          <w:sz w:val="24"/>
          <w:szCs w:val="24"/>
        </w:rPr>
      </w:pPr>
      <w:r w:rsidRPr="00C21B00">
        <w:rPr>
          <w:rFonts w:ascii="Times New Roman" w:hAnsi="Times New Roman" w:cs="Times New Roman"/>
          <w:sz w:val="24"/>
          <w:szCs w:val="24"/>
        </w:rPr>
        <w:t>“reasonable accommodation</w:t>
      </w:r>
      <w:r w:rsidR="003B4BB6">
        <w:rPr>
          <w:rFonts w:ascii="Times New Roman" w:hAnsi="Times New Roman" w:cs="Times New Roman"/>
          <w:sz w:val="24"/>
          <w:szCs w:val="24"/>
        </w:rPr>
        <w:t>”</w:t>
      </w:r>
      <w:r w:rsidRPr="00C21B00">
        <w:rPr>
          <w:rFonts w:ascii="Times New Roman" w:hAnsi="Times New Roman" w:cs="Times New Roman"/>
          <w:sz w:val="24"/>
          <w:szCs w:val="24"/>
        </w:rPr>
        <w:t xml:space="preserve"> means necessary and appropriate modification and adjustments to such places which provide a service to the members of the public which do not impose a disproportionate or undue burden when needed in a particular case, to ensure to a person with disability, the enjoyment or exercise of all human rights and fundamental freedoms on an equal basis.”</w:t>
      </w:r>
    </w:p>
    <w:p w14:paraId="4E981D51" w14:textId="77777777" w:rsidR="00C21B00" w:rsidRPr="00C21B00" w:rsidRDefault="00C21B00" w:rsidP="00C21B00">
      <w:pPr>
        <w:spacing w:line="240" w:lineRule="auto"/>
        <w:ind w:left="2160"/>
        <w:jc w:val="both"/>
        <w:rPr>
          <w:rFonts w:ascii="Times New Roman" w:hAnsi="Times New Roman" w:cs="Times New Roman"/>
          <w:sz w:val="24"/>
          <w:szCs w:val="24"/>
        </w:rPr>
      </w:pPr>
    </w:p>
    <w:p w14:paraId="5540A1EF" w14:textId="52A8D60F" w:rsidR="00213B3E" w:rsidRDefault="00213B3E"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C21B00">
        <w:rPr>
          <w:rFonts w:ascii="Times New Roman" w:hAnsi="Times New Roman" w:cs="Times New Roman"/>
          <w:sz w:val="28"/>
          <w:szCs w:val="28"/>
        </w:rPr>
        <w:t>1</w:t>
      </w:r>
      <w:r>
        <w:rPr>
          <w:rFonts w:ascii="Times New Roman" w:hAnsi="Times New Roman" w:cs="Times New Roman"/>
          <w:sz w:val="28"/>
          <w:szCs w:val="28"/>
        </w:rPr>
        <w:t>.</w:t>
      </w:r>
      <w:r>
        <w:rPr>
          <w:rFonts w:ascii="Times New Roman" w:hAnsi="Times New Roman" w:cs="Times New Roman"/>
          <w:sz w:val="28"/>
          <w:szCs w:val="28"/>
        </w:rPr>
        <w:tab/>
        <w:t xml:space="preserve">What this means for the judiciary is </w:t>
      </w:r>
      <w:r w:rsidR="00AB3A16">
        <w:rPr>
          <w:rFonts w:ascii="Times New Roman" w:hAnsi="Times New Roman" w:cs="Times New Roman"/>
          <w:sz w:val="28"/>
          <w:szCs w:val="28"/>
        </w:rPr>
        <w:t>t</w:t>
      </w:r>
      <w:r>
        <w:rPr>
          <w:rFonts w:ascii="Times New Roman" w:hAnsi="Times New Roman" w:cs="Times New Roman"/>
          <w:sz w:val="28"/>
          <w:szCs w:val="28"/>
        </w:rPr>
        <w:t xml:space="preserve">hat courts should be physically accessible and court process disability-friendly.  For example, </w:t>
      </w:r>
      <w:r w:rsidR="00C21B00">
        <w:rPr>
          <w:rFonts w:ascii="Times New Roman" w:hAnsi="Times New Roman" w:cs="Times New Roman"/>
          <w:sz w:val="28"/>
          <w:szCs w:val="28"/>
        </w:rPr>
        <w:t xml:space="preserve">we should have </w:t>
      </w:r>
      <w:r>
        <w:rPr>
          <w:rFonts w:ascii="Times New Roman" w:hAnsi="Times New Roman" w:cs="Times New Roman"/>
          <w:sz w:val="28"/>
          <w:szCs w:val="28"/>
        </w:rPr>
        <w:t xml:space="preserve">special ramps to ease movement, </w:t>
      </w:r>
      <w:r w:rsidR="00C21B00">
        <w:rPr>
          <w:rFonts w:ascii="Times New Roman" w:hAnsi="Times New Roman" w:cs="Times New Roman"/>
          <w:sz w:val="28"/>
          <w:szCs w:val="28"/>
        </w:rPr>
        <w:t xml:space="preserve">automatic doors and doors next to turnstiles, </w:t>
      </w:r>
      <w:r>
        <w:rPr>
          <w:rFonts w:ascii="Times New Roman" w:hAnsi="Times New Roman" w:cs="Times New Roman"/>
          <w:sz w:val="28"/>
          <w:szCs w:val="28"/>
        </w:rPr>
        <w:t>visual and audio augmentation devices</w:t>
      </w:r>
      <w:r w:rsidR="00C21B00">
        <w:rPr>
          <w:rFonts w:ascii="Times New Roman" w:hAnsi="Times New Roman" w:cs="Times New Roman"/>
          <w:sz w:val="28"/>
          <w:szCs w:val="28"/>
        </w:rPr>
        <w:t>,</w:t>
      </w:r>
      <w:r>
        <w:rPr>
          <w:rFonts w:ascii="Times New Roman" w:hAnsi="Times New Roman" w:cs="Times New Roman"/>
          <w:sz w:val="28"/>
          <w:szCs w:val="28"/>
        </w:rPr>
        <w:t xml:space="preserve"> braille produced documentation</w:t>
      </w:r>
      <w:r w:rsidR="00C21B00">
        <w:rPr>
          <w:rFonts w:ascii="Times New Roman" w:hAnsi="Times New Roman" w:cs="Times New Roman"/>
          <w:sz w:val="28"/>
          <w:szCs w:val="28"/>
        </w:rPr>
        <w:t xml:space="preserve"> and suitable designed parking for vehicles</w:t>
      </w:r>
      <w:r>
        <w:rPr>
          <w:rFonts w:ascii="Times New Roman" w:hAnsi="Times New Roman" w:cs="Times New Roman"/>
          <w:sz w:val="28"/>
          <w:szCs w:val="28"/>
        </w:rPr>
        <w:t>.</w:t>
      </w:r>
    </w:p>
    <w:p w14:paraId="09268B6E" w14:textId="46303745" w:rsidR="00213B3E" w:rsidRDefault="003E42E7"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213B3E">
        <w:rPr>
          <w:rFonts w:ascii="Times New Roman" w:hAnsi="Times New Roman" w:cs="Times New Roman"/>
          <w:sz w:val="28"/>
          <w:szCs w:val="28"/>
        </w:rPr>
        <w:t>2.</w:t>
      </w:r>
      <w:r w:rsidR="00213B3E">
        <w:rPr>
          <w:rFonts w:ascii="Times New Roman" w:hAnsi="Times New Roman" w:cs="Times New Roman"/>
          <w:sz w:val="28"/>
          <w:szCs w:val="28"/>
        </w:rPr>
        <w:tab/>
        <w:t xml:space="preserve">For persons with </w:t>
      </w:r>
      <w:r w:rsidR="00C21B00">
        <w:rPr>
          <w:rFonts w:ascii="Times New Roman" w:hAnsi="Times New Roman" w:cs="Times New Roman"/>
          <w:sz w:val="28"/>
          <w:szCs w:val="28"/>
        </w:rPr>
        <w:t>hearing impairment, courts should have sign language interpreters or written communication where sign language interpreter is not available</w:t>
      </w:r>
      <w:r w:rsidR="00213B3E">
        <w:rPr>
          <w:rFonts w:ascii="Times New Roman" w:hAnsi="Times New Roman" w:cs="Times New Roman"/>
          <w:sz w:val="28"/>
          <w:szCs w:val="28"/>
        </w:rPr>
        <w:t>.</w:t>
      </w:r>
    </w:p>
    <w:p w14:paraId="28660FE8" w14:textId="77777777" w:rsidR="006B1F91" w:rsidRDefault="006B1F91" w:rsidP="00E80D21">
      <w:pPr>
        <w:spacing w:line="360" w:lineRule="auto"/>
        <w:ind w:left="720" w:hanging="720"/>
        <w:jc w:val="both"/>
        <w:rPr>
          <w:rFonts w:ascii="Times New Roman" w:hAnsi="Times New Roman" w:cs="Times New Roman"/>
          <w:sz w:val="28"/>
          <w:szCs w:val="28"/>
        </w:rPr>
      </w:pPr>
    </w:p>
    <w:p w14:paraId="00D63E75" w14:textId="6C21D173" w:rsidR="00213B3E" w:rsidRPr="00213B3E" w:rsidRDefault="00213B3E" w:rsidP="00E80D21">
      <w:pPr>
        <w:spacing w:line="360" w:lineRule="auto"/>
        <w:ind w:left="720" w:hanging="720"/>
        <w:jc w:val="both"/>
        <w:rPr>
          <w:rFonts w:ascii="Times New Roman" w:hAnsi="Times New Roman" w:cs="Times New Roman"/>
          <w:b/>
          <w:bCs/>
          <w:sz w:val="28"/>
          <w:szCs w:val="28"/>
        </w:rPr>
      </w:pPr>
      <w:r w:rsidRPr="00213B3E">
        <w:rPr>
          <w:rFonts w:ascii="Times New Roman" w:hAnsi="Times New Roman" w:cs="Times New Roman"/>
          <w:b/>
          <w:bCs/>
          <w:sz w:val="28"/>
          <w:szCs w:val="28"/>
        </w:rPr>
        <w:t>Any Legal Barriers?</w:t>
      </w:r>
    </w:p>
    <w:p w14:paraId="61419D99" w14:textId="72272313" w:rsidR="00213B3E" w:rsidRDefault="00213B3E"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 xml:space="preserve">The Constitution of Lesotho, 1993 guarantees two important rights: the right to respect for private and family life (in section 11) and freedom from discrimination (in section 18).  There is no local jurisprudence yet on what these rights mean for the LGBTIQ community.  </w:t>
      </w:r>
      <w:r w:rsidR="00C21B00">
        <w:rPr>
          <w:rFonts w:ascii="Times New Roman" w:hAnsi="Times New Roman" w:cs="Times New Roman"/>
          <w:sz w:val="28"/>
          <w:szCs w:val="28"/>
        </w:rPr>
        <w:t xml:space="preserve"> I</w:t>
      </w:r>
      <w:r>
        <w:rPr>
          <w:rFonts w:ascii="Times New Roman" w:hAnsi="Times New Roman" w:cs="Times New Roman"/>
          <w:sz w:val="28"/>
          <w:szCs w:val="28"/>
        </w:rPr>
        <w:t>nternational jurisprudence</w:t>
      </w:r>
      <w:r>
        <w:rPr>
          <w:rStyle w:val="FootnoteReference"/>
          <w:rFonts w:ascii="Times New Roman" w:hAnsi="Times New Roman" w:cs="Times New Roman"/>
          <w:sz w:val="28"/>
          <w:szCs w:val="28"/>
        </w:rPr>
        <w:footnoteReference w:id="6"/>
      </w:r>
      <w:r>
        <w:rPr>
          <w:rFonts w:ascii="Times New Roman" w:hAnsi="Times New Roman" w:cs="Times New Roman"/>
          <w:sz w:val="28"/>
          <w:szCs w:val="28"/>
        </w:rPr>
        <w:t xml:space="preserve"> on comparative constitutional and conventional provisions is that sexual orientation falls within the prohibited grounds of discrimination</w:t>
      </w:r>
      <w:r w:rsidR="00C21B00">
        <w:rPr>
          <w:rFonts w:ascii="Times New Roman" w:hAnsi="Times New Roman" w:cs="Times New Roman"/>
          <w:sz w:val="28"/>
          <w:szCs w:val="28"/>
        </w:rPr>
        <w:t>,</w:t>
      </w:r>
      <w:r>
        <w:rPr>
          <w:rFonts w:ascii="Times New Roman" w:hAnsi="Times New Roman" w:cs="Times New Roman"/>
          <w:sz w:val="28"/>
          <w:szCs w:val="28"/>
        </w:rPr>
        <w:t xml:space="preserve"> be </w:t>
      </w:r>
      <w:r w:rsidR="00C21B00">
        <w:rPr>
          <w:rFonts w:ascii="Times New Roman" w:hAnsi="Times New Roman" w:cs="Times New Roman"/>
          <w:sz w:val="28"/>
          <w:szCs w:val="28"/>
        </w:rPr>
        <w:t>they</w:t>
      </w:r>
      <w:r w:rsidR="00B90714">
        <w:rPr>
          <w:rFonts w:ascii="Times New Roman" w:hAnsi="Times New Roman" w:cs="Times New Roman"/>
          <w:sz w:val="28"/>
          <w:szCs w:val="28"/>
        </w:rPr>
        <w:t xml:space="preserve"> be on</w:t>
      </w:r>
      <w:r>
        <w:rPr>
          <w:rFonts w:ascii="Times New Roman" w:hAnsi="Times New Roman" w:cs="Times New Roman"/>
          <w:sz w:val="28"/>
          <w:szCs w:val="28"/>
        </w:rPr>
        <w:t xml:space="preserve"> grounds of “sex”, “other status” or an </w:t>
      </w:r>
      <w:r w:rsidR="00E97A5B">
        <w:rPr>
          <w:rFonts w:ascii="Times New Roman" w:hAnsi="Times New Roman" w:cs="Times New Roman"/>
          <w:sz w:val="28"/>
          <w:szCs w:val="28"/>
        </w:rPr>
        <w:t>aspect of diversity.   In a seminal judgment</w:t>
      </w:r>
      <w:r w:rsidR="00E97A5B">
        <w:rPr>
          <w:rStyle w:val="FootnoteReference"/>
          <w:rFonts w:ascii="Times New Roman" w:hAnsi="Times New Roman" w:cs="Times New Roman"/>
          <w:sz w:val="28"/>
          <w:szCs w:val="28"/>
        </w:rPr>
        <w:footnoteReference w:id="7"/>
      </w:r>
      <w:r w:rsidR="00E97A5B">
        <w:rPr>
          <w:rFonts w:ascii="Times New Roman" w:hAnsi="Times New Roman" w:cs="Times New Roman"/>
          <w:sz w:val="28"/>
          <w:szCs w:val="28"/>
        </w:rPr>
        <w:t>, the Supreme Court of Belize struck down a law which criminalised homosexuality.  It said that it could not act on the prevailing majority views</w:t>
      </w:r>
      <w:r w:rsidR="00B90714">
        <w:rPr>
          <w:rFonts w:ascii="Times New Roman" w:hAnsi="Times New Roman" w:cs="Times New Roman"/>
          <w:sz w:val="28"/>
          <w:szCs w:val="28"/>
        </w:rPr>
        <w:t xml:space="preserve"> in society</w:t>
      </w:r>
      <w:r w:rsidR="00E97A5B">
        <w:rPr>
          <w:rFonts w:ascii="Times New Roman" w:hAnsi="Times New Roman" w:cs="Times New Roman"/>
          <w:sz w:val="28"/>
          <w:szCs w:val="28"/>
        </w:rPr>
        <w:t xml:space="preserve"> or what is popularly accepted as moral.  There must be demonstrated that some harm will be caused should the proscribed conduct be rendered unregulated.</w:t>
      </w:r>
    </w:p>
    <w:p w14:paraId="6F2CDC9D" w14:textId="77777777" w:rsidR="00E97A5B" w:rsidRDefault="00E97A5B" w:rsidP="00E80D21">
      <w:pPr>
        <w:spacing w:line="360" w:lineRule="auto"/>
        <w:ind w:left="720" w:hanging="720"/>
        <w:jc w:val="both"/>
        <w:rPr>
          <w:rFonts w:ascii="Times New Roman" w:hAnsi="Times New Roman" w:cs="Times New Roman"/>
          <w:sz w:val="28"/>
          <w:szCs w:val="28"/>
        </w:rPr>
      </w:pPr>
    </w:p>
    <w:p w14:paraId="6A4E737A" w14:textId="62ED0150" w:rsidR="00072925" w:rsidRPr="00072925" w:rsidRDefault="00072925" w:rsidP="00E80D21">
      <w:pPr>
        <w:spacing w:line="360" w:lineRule="auto"/>
        <w:ind w:left="720" w:hanging="720"/>
        <w:jc w:val="both"/>
        <w:rPr>
          <w:rFonts w:ascii="Times New Roman" w:hAnsi="Times New Roman" w:cs="Times New Roman"/>
          <w:b/>
          <w:bCs/>
          <w:sz w:val="28"/>
          <w:szCs w:val="28"/>
        </w:rPr>
      </w:pPr>
      <w:r w:rsidRPr="00072925">
        <w:rPr>
          <w:rFonts w:ascii="Times New Roman" w:hAnsi="Times New Roman" w:cs="Times New Roman"/>
          <w:b/>
          <w:bCs/>
          <w:sz w:val="28"/>
          <w:szCs w:val="28"/>
        </w:rPr>
        <w:t>Participation In Judicial Processes</w:t>
      </w:r>
    </w:p>
    <w:p w14:paraId="3958443D" w14:textId="7A777D92" w:rsidR="00072925" w:rsidRDefault="00072925"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 xml:space="preserve">The competency of persons with disabilities to participate in criminal trials is undermined by section 219 of the </w:t>
      </w:r>
      <w:r w:rsidRPr="00AB3A16">
        <w:rPr>
          <w:rFonts w:ascii="Times New Roman" w:hAnsi="Times New Roman" w:cs="Times New Roman"/>
          <w:b/>
          <w:bCs/>
          <w:sz w:val="28"/>
          <w:szCs w:val="28"/>
        </w:rPr>
        <w:t>Criminal Procedure and Evidence Act No.7 of 1981</w:t>
      </w:r>
      <w:r>
        <w:rPr>
          <w:rFonts w:ascii="Times New Roman" w:hAnsi="Times New Roman" w:cs="Times New Roman"/>
          <w:sz w:val="28"/>
          <w:szCs w:val="28"/>
        </w:rPr>
        <w:t>. It reads as follows:</w:t>
      </w:r>
    </w:p>
    <w:p w14:paraId="55193243" w14:textId="6E7D0DD2" w:rsidR="00072925" w:rsidRPr="006B1F91" w:rsidRDefault="00072925" w:rsidP="006B1F91">
      <w:pPr>
        <w:spacing w:line="240" w:lineRule="auto"/>
        <w:ind w:left="2160"/>
        <w:jc w:val="both"/>
        <w:rPr>
          <w:rFonts w:ascii="Times New Roman" w:hAnsi="Times New Roman" w:cs="Times New Roman"/>
          <w:sz w:val="24"/>
          <w:szCs w:val="24"/>
        </w:rPr>
      </w:pPr>
      <w:r w:rsidRPr="006B1F91">
        <w:rPr>
          <w:rFonts w:ascii="Times New Roman" w:hAnsi="Times New Roman" w:cs="Times New Roman"/>
          <w:sz w:val="24"/>
          <w:szCs w:val="24"/>
        </w:rPr>
        <w:t xml:space="preserve">“No person appearing or proved to be afflicted with idiocy, lunacy or inability or labouring under any </w:t>
      </w:r>
      <w:r w:rsidR="00F72991" w:rsidRPr="006B1F91">
        <w:rPr>
          <w:rFonts w:ascii="Times New Roman" w:hAnsi="Times New Roman" w:cs="Times New Roman"/>
          <w:sz w:val="24"/>
          <w:szCs w:val="24"/>
        </w:rPr>
        <w:t>imbecility</w:t>
      </w:r>
      <w:r w:rsidRPr="006B1F91">
        <w:rPr>
          <w:rFonts w:ascii="Times New Roman" w:hAnsi="Times New Roman" w:cs="Times New Roman"/>
          <w:sz w:val="24"/>
          <w:szCs w:val="24"/>
        </w:rPr>
        <w:t xml:space="preserve"> of mind arising from intoxication or otherwise wher</w:t>
      </w:r>
      <w:r w:rsidR="00694BB3" w:rsidRPr="006B1F91">
        <w:rPr>
          <w:rFonts w:ascii="Times New Roman" w:hAnsi="Times New Roman" w:cs="Times New Roman"/>
          <w:sz w:val="24"/>
          <w:szCs w:val="24"/>
        </w:rPr>
        <w:t>e</w:t>
      </w:r>
      <w:r w:rsidRPr="006B1F91">
        <w:rPr>
          <w:rFonts w:ascii="Times New Roman" w:hAnsi="Times New Roman" w:cs="Times New Roman"/>
          <w:sz w:val="24"/>
          <w:szCs w:val="24"/>
        </w:rPr>
        <w:t xml:space="preserve">by he is deprived of the proper use of </w:t>
      </w:r>
      <w:r w:rsidRPr="006B1F91">
        <w:rPr>
          <w:rFonts w:ascii="Times New Roman" w:hAnsi="Times New Roman" w:cs="Times New Roman"/>
          <w:sz w:val="24"/>
          <w:szCs w:val="24"/>
        </w:rPr>
        <w:lastRenderedPageBreak/>
        <w:t>reason, shall be comp</w:t>
      </w:r>
      <w:r w:rsidR="00694BB3" w:rsidRPr="006B1F91">
        <w:rPr>
          <w:rFonts w:ascii="Times New Roman" w:hAnsi="Times New Roman" w:cs="Times New Roman"/>
          <w:sz w:val="24"/>
          <w:szCs w:val="24"/>
        </w:rPr>
        <w:t>e</w:t>
      </w:r>
      <w:r w:rsidRPr="006B1F91">
        <w:rPr>
          <w:rFonts w:ascii="Times New Roman" w:hAnsi="Times New Roman" w:cs="Times New Roman"/>
          <w:sz w:val="24"/>
          <w:szCs w:val="24"/>
        </w:rPr>
        <w:t>tent to give evidence</w:t>
      </w:r>
      <w:r w:rsidR="00694BB3" w:rsidRPr="006B1F91">
        <w:rPr>
          <w:rFonts w:ascii="Times New Roman" w:hAnsi="Times New Roman" w:cs="Times New Roman"/>
          <w:sz w:val="24"/>
          <w:szCs w:val="24"/>
        </w:rPr>
        <w:t xml:space="preserve"> while so afflicted or disabled.”</w:t>
      </w:r>
    </w:p>
    <w:p w14:paraId="3ECB8FEB" w14:textId="225D07F5" w:rsidR="00694BB3" w:rsidRDefault="00694BB3" w:rsidP="00E80D21">
      <w:pPr>
        <w:spacing w:line="360" w:lineRule="auto"/>
        <w:ind w:left="720" w:hanging="720"/>
        <w:jc w:val="both"/>
        <w:rPr>
          <w:rFonts w:ascii="Times New Roman" w:hAnsi="Times New Roman" w:cs="Times New Roman"/>
          <w:sz w:val="28"/>
          <w:szCs w:val="28"/>
        </w:rPr>
      </w:pPr>
    </w:p>
    <w:p w14:paraId="6B247E5E" w14:textId="108F8473" w:rsidR="00B90714" w:rsidRDefault="00B90714"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 xml:space="preserve">Section 219 of the </w:t>
      </w:r>
      <w:r w:rsidRPr="00B90714">
        <w:rPr>
          <w:rFonts w:ascii="Times New Roman" w:hAnsi="Times New Roman" w:cs="Times New Roman"/>
          <w:b/>
          <w:bCs/>
          <w:sz w:val="28"/>
          <w:szCs w:val="28"/>
        </w:rPr>
        <w:t>Criminal Procedure and Evidence Act, 1981</w:t>
      </w:r>
      <w:r>
        <w:rPr>
          <w:rFonts w:ascii="Times New Roman" w:hAnsi="Times New Roman" w:cs="Times New Roman"/>
          <w:sz w:val="28"/>
          <w:szCs w:val="28"/>
        </w:rPr>
        <w:t xml:space="preserve"> has been impliedly repealed by section 32 (2) and (4) of the </w:t>
      </w:r>
      <w:r w:rsidRPr="00B90714">
        <w:rPr>
          <w:rFonts w:ascii="Times New Roman" w:hAnsi="Times New Roman" w:cs="Times New Roman"/>
          <w:b/>
          <w:bCs/>
          <w:sz w:val="28"/>
          <w:szCs w:val="28"/>
        </w:rPr>
        <w:t>Persons with Disability Act No.2 of 2021</w:t>
      </w:r>
      <w:r>
        <w:rPr>
          <w:rFonts w:ascii="Times New Roman" w:hAnsi="Times New Roman" w:cs="Times New Roman"/>
          <w:sz w:val="28"/>
          <w:szCs w:val="28"/>
        </w:rPr>
        <w:t>.  The subsections read as follows:</w:t>
      </w:r>
    </w:p>
    <w:p w14:paraId="6CD8E2A7" w14:textId="42C7BD4D" w:rsidR="00B90714" w:rsidRPr="00B90714" w:rsidRDefault="00B90714" w:rsidP="00B90714">
      <w:pPr>
        <w:spacing w:line="240" w:lineRule="auto"/>
        <w:ind w:left="2880" w:hanging="720"/>
        <w:jc w:val="both"/>
        <w:rPr>
          <w:rFonts w:ascii="Times New Roman" w:hAnsi="Times New Roman" w:cs="Times New Roman"/>
          <w:sz w:val="24"/>
          <w:szCs w:val="24"/>
        </w:rPr>
      </w:pPr>
      <w:r w:rsidRPr="00B90714">
        <w:rPr>
          <w:rFonts w:ascii="Times New Roman" w:hAnsi="Times New Roman" w:cs="Times New Roman"/>
          <w:sz w:val="24"/>
          <w:szCs w:val="24"/>
        </w:rPr>
        <w:t>“(3)</w:t>
      </w:r>
      <w:r w:rsidRPr="00B90714">
        <w:rPr>
          <w:rFonts w:ascii="Times New Roman" w:hAnsi="Times New Roman" w:cs="Times New Roman"/>
          <w:sz w:val="24"/>
          <w:szCs w:val="24"/>
        </w:rPr>
        <w:tab/>
        <w:t>A person with disability shall be competent and compellable to give evidence in a criminal and civil case in any court in Lesotho or before a Magistrate on a preparatory examination.</w:t>
      </w:r>
    </w:p>
    <w:p w14:paraId="09537080" w14:textId="6C0A5A80" w:rsidR="00B90714" w:rsidRPr="00B90714" w:rsidRDefault="00B90714" w:rsidP="00B90714">
      <w:pPr>
        <w:spacing w:line="240" w:lineRule="auto"/>
        <w:ind w:left="2880" w:hanging="720"/>
        <w:jc w:val="both"/>
        <w:rPr>
          <w:rFonts w:ascii="Times New Roman" w:hAnsi="Times New Roman" w:cs="Times New Roman"/>
          <w:sz w:val="24"/>
          <w:szCs w:val="24"/>
        </w:rPr>
      </w:pPr>
      <w:r w:rsidRPr="00B90714">
        <w:rPr>
          <w:rFonts w:ascii="Times New Roman" w:hAnsi="Times New Roman" w:cs="Times New Roman"/>
          <w:sz w:val="24"/>
          <w:szCs w:val="24"/>
        </w:rPr>
        <w:t>(4)</w:t>
      </w:r>
      <w:r w:rsidRPr="00B90714">
        <w:rPr>
          <w:rFonts w:ascii="Times New Roman" w:hAnsi="Times New Roman" w:cs="Times New Roman"/>
          <w:sz w:val="24"/>
          <w:szCs w:val="24"/>
        </w:rPr>
        <w:tab/>
        <w:t>A person with disability shall be assisted in every possible manner to effectively, directly and indirectly participate in all legal proceedings and other preliminary stages of administration of the judicial process.”</w:t>
      </w:r>
    </w:p>
    <w:p w14:paraId="06E8D3AA" w14:textId="77777777" w:rsidR="00B90714" w:rsidRDefault="00B90714" w:rsidP="00E80D21">
      <w:pPr>
        <w:spacing w:line="360" w:lineRule="auto"/>
        <w:ind w:left="720" w:hanging="720"/>
        <w:jc w:val="both"/>
        <w:rPr>
          <w:rFonts w:ascii="Times New Roman" w:hAnsi="Times New Roman" w:cs="Times New Roman"/>
          <w:sz w:val="28"/>
          <w:szCs w:val="28"/>
        </w:rPr>
      </w:pPr>
    </w:p>
    <w:p w14:paraId="660716D2" w14:textId="34481D7C" w:rsidR="00694BB3" w:rsidRDefault="00694BB3"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B90714">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t>A person may be of unsound mind wholly or</w:t>
      </w:r>
      <w:r w:rsidR="00B90714">
        <w:rPr>
          <w:rFonts w:ascii="Times New Roman" w:hAnsi="Times New Roman" w:cs="Times New Roman"/>
          <w:sz w:val="28"/>
          <w:szCs w:val="28"/>
        </w:rPr>
        <w:t xml:space="preserve"> only partially</w:t>
      </w:r>
      <w:r>
        <w:rPr>
          <w:rFonts w:ascii="Times New Roman" w:hAnsi="Times New Roman" w:cs="Times New Roman"/>
          <w:sz w:val="28"/>
          <w:szCs w:val="28"/>
        </w:rPr>
        <w:t xml:space="preserve"> in relation to one topic.  If he has lucid intervals, he is  competent to participate in connection with</w:t>
      </w:r>
      <w:r w:rsidR="00B90714">
        <w:rPr>
          <w:rFonts w:ascii="Times New Roman" w:hAnsi="Times New Roman" w:cs="Times New Roman"/>
          <w:sz w:val="28"/>
          <w:szCs w:val="28"/>
        </w:rPr>
        <w:t xml:space="preserve"> those</w:t>
      </w:r>
      <w:r>
        <w:rPr>
          <w:rFonts w:ascii="Times New Roman" w:hAnsi="Times New Roman" w:cs="Times New Roman"/>
          <w:sz w:val="28"/>
          <w:szCs w:val="28"/>
        </w:rPr>
        <w:t xml:space="preserve"> topics on which his mind is sound.  </w:t>
      </w:r>
      <w:r w:rsidR="00B90714">
        <w:rPr>
          <w:rFonts w:ascii="Times New Roman" w:hAnsi="Times New Roman" w:cs="Times New Roman"/>
          <w:sz w:val="28"/>
          <w:szCs w:val="28"/>
        </w:rPr>
        <w:t xml:space="preserve">However, </w:t>
      </w:r>
      <w:r>
        <w:rPr>
          <w:rFonts w:ascii="Times New Roman" w:hAnsi="Times New Roman" w:cs="Times New Roman"/>
          <w:sz w:val="28"/>
          <w:szCs w:val="28"/>
        </w:rPr>
        <w:t xml:space="preserve">his evidence must be treated with necessary caution.  In this sense, the rigour of section 219 is mitigated by the </w:t>
      </w:r>
      <w:r w:rsidR="00B90714">
        <w:rPr>
          <w:rFonts w:ascii="Times New Roman" w:hAnsi="Times New Roman" w:cs="Times New Roman"/>
          <w:sz w:val="28"/>
          <w:szCs w:val="28"/>
        </w:rPr>
        <w:t>continuing</w:t>
      </w:r>
      <w:r>
        <w:rPr>
          <w:rFonts w:ascii="Times New Roman" w:hAnsi="Times New Roman" w:cs="Times New Roman"/>
          <w:sz w:val="28"/>
          <w:szCs w:val="28"/>
        </w:rPr>
        <w:t xml:space="preserve"> assessment of the capacity of the person</w:t>
      </w:r>
      <w:r>
        <w:rPr>
          <w:rStyle w:val="FootnoteReference"/>
          <w:rFonts w:ascii="Times New Roman" w:hAnsi="Times New Roman" w:cs="Times New Roman"/>
          <w:sz w:val="28"/>
          <w:szCs w:val="28"/>
        </w:rPr>
        <w:footnoteReference w:id="8"/>
      </w:r>
      <w:r>
        <w:rPr>
          <w:rFonts w:ascii="Times New Roman" w:hAnsi="Times New Roman" w:cs="Times New Roman"/>
          <w:sz w:val="28"/>
          <w:szCs w:val="28"/>
        </w:rPr>
        <w:t>.</w:t>
      </w:r>
    </w:p>
    <w:p w14:paraId="6BDF4CCF" w14:textId="70929B54" w:rsidR="00E97A5B" w:rsidRDefault="00E97A5B" w:rsidP="00E80D21">
      <w:pPr>
        <w:spacing w:line="360" w:lineRule="auto"/>
        <w:ind w:left="720" w:hanging="720"/>
        <w:jc w:val="both"/>
        <w:rPr>
          <w:rFonts w:ascii="Times New Roman" w:hAnsi="Times New Roman" w:cs="Times New Roman"/>
          <w:sz w:val="28"/>
          <w:szCs w:val="28"/>
        </w:rPr>
      </w:pPr>
    </w:p>
    <w:p w14:paraId="435DE8B7" w14:textId="49A9FC63" w:rsidR="00E97A5B" w:rsidRDefault="00E97A5B"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w:t>
      </w:r>
      <w:r w:rsidR="00B90714">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t xml:space="preserve">The section also impacts on proof in sexual offences.  Section 52 (2) (f), (i) of the </w:t>
      </w:r>
      <w:r w:rsidRPr="00B90714">
        <w:rPr>
          <w:rFonts w:ascii="Times New Roman" w:hAnsi="Times New Roman" w:cs="Times New Roman"/>
          <w:b/>
          <w:bCs/>
          <w:sz w:val="28"/>
          <w:szCs w:val="28"/>
        </w:rPr>
        <w:t>Penal Code</w:t>
      </w:r>
      <w:r w:rsidR="00B90714">
        <w:rPr>
          <w:rFonts w:ascii="Times New Roman" w:hAnsi="Times New Roman" w:cs="Times New Roman"/>
          <w:sz w:val="28"/>
          <w:szCs w:val="28"/>
        </w:rPr>
        <w:t xml:space="preserve">, </w:t>
      </w:r>
      <w:r w:rsidR="00B90714" w:rsidRPr="00B90714">
        <w:rPr>
          <w:rFonts w:ascii="Times New Roman" w:hAnsi="Times New Roman" w:cs="Times New Roman"/>
          <w:b/>
          <w:bCs/>
          <w:sz w:val="28"/>
          <w:szCs w:val="28"/>
        </w:rPr>
        <w:t>2010</w:t>
      </w:r>
      <w:r>
        <w:rPr>
          <w:rFonts w:ascii="Times New Roman" w:hAnsi="Times New Roman" w:cs="Times New Roman"/>
          <w:sz w:val="28"/>
          <w:szCs w:val="28"/>
        </w:rPr>
        <w:t xml:space="preserve"> makes it an offence to have sexual relations with a complainant who is affected by “physical disability, mental incapacity, sensory disability, medical disability, intellectual disability, or other disability, whether permanent or temporary”.</w:t>
      </w:r>
    </w:p>
    <w:p w14:paraId="45EF919C" w14:textId="12B1E857" w:rsidR="00E97A5B" w:rsidRDefault="00E97A5B" w:rsidP="00E80D21">
      <w:pPr>
        <w:spacing w:line="360" w:lineRule="auto"/>
        <w:ind w:left="720" w:hanging="720"/>
        <w:jc w:val="both"/>
        <w:rPr>
          <w:rFonts w:ascii="Times New Roman" w:hAnsi="Times New Roman" w:cs="Times New Roman"/>
          <w:sz w:val="28"/>
          <w:szCs w:val="28"/>
        </w:rPr>
      </w:pPr>
    </w:p>
    <w:p w14:paraId="4E2AFCD7" w14:textId="6ACDF2F6" w:rsidR="00E97A5B" w:rsidRDefault="00E97A5B"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B90714">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003011C8">
        <w:rPr>
          <w:rFonts w:ascii="Times New Roman" w:hAnsi="Times New Roman" w:cs="Times New Roman"/>
          <w:sz w:val="28"/>
          <w:szCs w:val="28"/>
        </w:rPr>
        <w:t xml:space="preserve">Questions of competency of the complainant arise.  For example, if the court finds that complainant has a disability of a mental, intellectual or sensory nature, her evidence may not be competently </w:t>
      </w:r>
      <w:r w:rsidR="00E75248">
        <w:rPr>
          <w:rFonts w:ascii="Times New Roman" w:hAnsi="Times New Roman" w:cs="Times New Roman"/>
          <w:sz w:val="28"/>
          <w:szCs w:val="28"/>
        </w:rPr>
        <w:t>receivable</w:t>
      </w:r>
      <w:r w:rsidR="003011C8">
        <w:rPr>
          <w:rFonts w:ascii="Times New Roman" w:hAnsi="Times New Roman" w:cs="Times New Roman"/>
          <w:sz w:val="28"/>
          <w:szCs w:val="28"/>
        </w:rPr>
        <w:t xml:space="preserve"> and proof of the offence </w:t>
      </w:r>
      <w:r w:rsidR="00E75248">
        <w:rPr>
          <w:rFonts w:ascii="Times New Roman" w:hAnsi="Times New Roman" w:cs="Times New Roman"/>
          <w:sz w:val="28"/>
          <w:szCs w:val="28"/>
        </w:rPr>
        <w:t>to meet the threshold of proof beyond reasonable doubt</w:t>
      </w:r>
      <w:r w:rsidR="00B90714">
        <w:rPr>
          <w:rFonts w:ascii="Times New Roman" w:hAnsi="Times New Roman" w:cs="Times New Roman"/>
          <w:sz w:val="28"/>
          <w:szCs w:val="28"/>
        </w:rPr>
        <w:t xml:space="preserve"> undermined</w:t>
      </w:r>
      <w:r w:rsidR="00E75248">
        <w:rPr>
          <w:rFonts w:ascii="Times New Roman" w:hAnsi="Times New Roman" w:cs="Times New Roman"/>
          <w:sz w:val="28"/>
          <w:szCs w:val="28"/>
        </w:rPr>
        <w:t xml:space="preserve">.  The mitigating factor is that the complainant is not </w:t>
      </w:r>
      <w:r w:rsidR="00B90714">
        <w:rPr>
          <w:rFonts w:ascii="Times New Roman" w:hAnsi="Times New Roman" w:cs="Times New Roman"/>
          <w:sz w:val="28"/>
          <w:szCs w:val="28"/>
        </w:rPr>
        <w:t xml:space="preserve">rendered </w:t>
      </w:r>
      <w:r w:rsidR="00E75248">
        <w:rPr>
          <w:rFonts w:ascii="Times New Roman" w:hAnsi="Times New Roman" w:cs="Times New Roman"/>
          <w:sz w:val="28"/>
          <w:szCs w:val="28"/>
        </w:rPr>
        <w:t>incompetent by reason of deficiency in senses of perception or incapacity to express herself by ordinary means.  What matters is that the complainant must be able to comprehend the oath and communicate through an interpreter.</w:t>
      </w:r>
      <w:r w:rsidR="00E75248">
        <w:rPr>
          <w:rStyle w:val="FootnoteReference"/>
          <w:rFonts w:ascii="Times New Roman" w:hAnsi="Times New Roman" w:cs="Times New Roman"/>
          <w:sz w:val="28"/>
          <w:szCs w:val="28"/>
        </w:rPr>
        <w:footnoteReference w:id="9"/>
      </w:r>
    </w:p>
    <w:p w14:paraId="3C2A77ED" w14:textId="79EEB702" w:rsidR="00E75248" w:rsidRDefault="00E75248" w:rsidP="00E80D21">
      <w:pPr>
        <w:spacing w:line="360" w:lineRule="auto"/>
        <w:ind w:left="720" w:hanging="720"/>
        <w:jc w:val="both"/>
        <w:rPr>
          <w:rFonts w:ascii="Times New Roman" w:hAnsi="Times New Roman" w:cs="Times New Roman"/>
          <w:sz w:val="28"/>
          <w:szCs w:val="28"/>
        </w:rPr>
      </w:pPr>
    </w:p>
    <w:p w14:paraId="55EFBA71" w14:textId="6B31852D" w:rsidR="00B90714" w:rsidRDefault="00B90714"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r>
      <w:r w:rsidR="009A469D">
        <w:rPr>
          <w:rFonts w:ascii="Times New Roman" w:hAnsi="Times New Roman" w:cs="Times New Roman"/>
          <w:sz w:val="28"/>
          <w:szCs w:val="28"/>
        </w:rPr>
        <w:t>The questions of compe</w:t>
      </w:r>
      <w:r w:rsidR="0080272D">
        <w:rPr>
          <w:rFonts w:ascii="Times New Roman" w:hAnsi="Times New Roman" w:cs="Times New Roman"/>
          <w:sz w:val="28"/>
          <w:szCs w:val="28"/>
        </w:rPr>
        <w:t>tency of a witness and the procedure to deal with it are distinct and must be dealt with separately</w:t>
      </w:r>
      <w:r w:rsidR="0080272D">
        <w:rPr>
          <w:rStyle w:val="FootnoteReference"/>
          <w:rFonts w:ascii="Times New Roman" w:hAnsi="Times New Roman" w:cs="Times New Roman"/>
          <w:sz w:val="28"/>
          <w:szCs w:val="28"/>
        </w:rPr>
        <w:footnoteReference w:id="10"/>
      </w:r>
      <w:r w:rsidR="0080272D">
        <w:rPr>
          <w:rFonts w:ascii="Times New Roman" w:hAnsi="Times New Roman" w:cs="Times New Roman"/>
          <w:sz w:val="28"/>
          <w:szCs w:val="28"/>
        </w:rPr>
        <w:t>.  Assessment of competency is a factual enquiry as to whether a witness can understand the oath and the nature of proceedings.  This enquiry is made before the swearing in of the witness.  It is conduced by way of a trial-within-a-trial as is the case with the voluntariness of a confession.  The enquiry involves two aspects</w:t>
      </w:r>
      <w:r w:rsidR="003B4BB6">
        <w:rPr>
          <w:rFonts w:ascii="Times New Roman" w:hAnsi="Times New Roman" w:cs="Times New Roman"/>
          <w:sz w:val="28"/>
          <w:szCs w:val="28"/>
        </w:rPr>
        <w:t>:</w:t>
      </w:r>
      <w:r w:rsidR="0080272D">
        <w:rPr>
          <w:rFonts w:ascii="Times New Roman" w:hAnsi="Times New Roman" w:cs="Times New Roman"/>
          <w:sz w:val="28"/>
          <w:szCs w:val="28"/>
        </w:rPr>
        <w:t xml:space="preserve"> (a)</w:t>
      </w:r>
      <w:r w:rsidR="002C6A53">
        <w:rPr>
          <w:rFonts w:ascii="Times New Roman" w:hAnsi="Times New Roman" w:cs="Times New Roman"/>
          <w:sz w:val="28"/>
          <w:szCs w:val="28"/>
        </w:rPr>
        <w:t xml:space="preserve"> whether the witness suffers from a disability and (b) whether as a direct result, he is deprived of the proper understanding and use of reason</w:t>
      </w:r>
      <w:r w:rsidR="002C6A53">
        <w:rPr>
          <w:rStyle w:val="FootnoteReference"/>
          <w:rFonts w:ascii="Times New Roman" w:hAnsi="Times New Roman" w:cs="Times New Roman"/>
          <w:sz w:val="28"/>
          <w:szCs w:val="28"/>
        </w:rPr>
        <w:footnoteReference w:id="11"/>
      </w:r>
      <w:r w:rsidR="002C6A53">
        <w:rPr>
          <w:rFonts w:ascii="Times New Roman" w:hAnsi="Times New Roman" w:cs="Times New Roman"/>
          <w:sz w:val="28"/>
          <w:szCs w:val="28"/>
        </w:rPr>
        <w:t>.</w:t>
      </w:r>
    </w:p>
    <w:p w14:paraId="6E87BC65" w14:textId="68536992" w:rsidR="00B55AC6" w:rsidRDefault="00B55AC6" w:rsidP="00E80D21">
      <w:pPr>
        <w:spacing w:line="360" w:lineRule="auto"/>
        <w:ind w:left="720" w:hanging="720"/>
        <w:jc w:val="both"/>
        <w:rPr>
          <w:rFonts w:ascii="Times New Roman" w:hAnsi="Times New Roman" w:cs="Times New Roman"/>
          <w:sz w:val="28"/>
          <w:szCs w:val="28"/>
        </w:rPr>
      </w:pPr>
    </w:p>
    <w:p w14:paraId="6306020B" w14:textId="292D8232" w:rsidR="00B55AC6" w:rsidRDefault="00B55AC6"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 xml:space="preserve">If the enquiry yields a positive answer on both aspects, the witness is incompetent to testify.  If the answer is negative on both aspects, the witness is competent to testify.  The witness can then be sworn in or admonished to speak the truth.  He can testify and be communicated with by sign language interpretation if deaf.  But the fact that the witness is </w:t>
      </w:r>
      <w:r>
        <w:rPr>
          <w:rFonts w:ascii="Times New Roman" w:hAnsi="Times New Roman" w:cs="Times New Roman"/>
          <w:sz w:val="28"/>
          <w:szCs w:val="28"/>
        </w:rPr>
        <w:lastRenderedPageBreak/>
        <w:t>allowed to testify does not preclude the court from later declaring them incompetent based on the witness’s subsequent answers and conduct.</w:t>
      </w:r>
      <w:r w:rsidR="00EC1D6B">
        <w:rPr>
          <w:rStyle w:val="FootnoteReference"/>
          <w:rFonts w:ascii="Times New Roman" w:hAnsi="Times New Roman" w:cs="Times New Roman"/>
          <w:sz w:val="28"/>
          <w:szCs w:val="28"/>
        </w:rPr>
        <w:footnoteReference w:id="12"/>
      </w:r>
    </w:p>
    <w:p w14:paraId="51E870CF" w14:textId="77777777" w:rsidR="005D4ED9" w:rsidRDefault="005D4ED9" w:rsidP="00E80D21">
      <w:pPr>
        <w:spacing w:line="360" w:lineRule="auto"/>
        <w:ind w:left="720" w:hanging="720"/>
        <w:jc w:val="both"/>
        <w:rPr>
          <w:rFonts w:ascii="Times New Roman" w:hAnsi="Times New Roman" w:cs="Times New Roman"/>
          <w:sz w:val="28"/>
          <w:szCs w:val="28"/>
        </w:rPr>
      </w:pPr>
    </w:p>
    <w:p w14:paraId="21E56E4F" w14:textId="1947F6EF" w:rsidR="007C0E3D" w:rsidRPr="00F22C05" w:rsidRDefault="00971BCF" w:rsidP="00E80D21">
      <w:pPr>
        <w:spacing w:line="360" w:lineRule="auto"/>
        <w:ind w:left="720" w:hanging="720"/>
        <w:jc w:val="both"/>
        <w:rPr>
          <w:rFonts w:ascii="Times New Roman" w:hAnsi="Times New Roman" w:cs="Times New Roman"/>
          <w:b/>
          <w:bCs/>
          <w:sz w:val="28"/>
          <w:szCs w:val="28"/>
        </w:rPr>
      </w:pPr>
      <w:r w:rsidRPr="00F22C05">
        <w:rPr>
          <w:rFonts w:ascii="Times New Roman" w:hAnsi="Times New Roman" w:cs="Times New Roman"/>
          <w:b/>
          <w:bCs/>
          <w:sz w:val="28"/>
          <w:szCs w:val="28"/>
        </w:rPr>
        <w:t>Treatment In Correctional Institutions</w:t>
      </w:r>
    </w:p>
    <w:p w14:paraId="0AB19621" w14:textId="723D381F" w:rsidR="00E75248" w:rsidRDefault="005D4ED9"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21</w:t>
      </w:r>
      <w:r w:rsidR="00E75248">
        <w:rPr>
          <w:rFonts w:ascii="Times New Roman" w:hAnsi="Times New Roman" w:cs="Times New Roman"/>
          <w:sz w:val="28"/>
          <w:szCs w:val="28"/>
        </w:rPr>
        <w:t>.</w:t>
      </w:r>
      <w:r w:rsidR="00E75248">
        <w:rPr>
          <w:rFonts w:ascii="Times New Roman" w:hAnsi="Times New Roman" w:cs="Times New Roman"/>
          <w:sz w:val="28"/>
          <w:szCs w:val="28"/>
        </w:rPr>
        <w:tab/>
        <w:t xml:space="preserve">Persons with disabilities and LGBTIQs may </w:t>
      </w:r>
      <w:r w:rsidR="00F22C05">
        <w:rPr>
          <w:rFonts w:ascii="Times New Roman" w:hAnsi="Times New Roman" w:cs="Times New Roman"/>
          <w:sz w:val="28"/>
          <w:szCs w:val="28"/>
        </w:rPr>
        <w:t xml:space="preserve">find themselves in conflict with the law and </w:t>
      </w:r>
      <w:r w:rsidR="00E75248">
        <w:rPr>
          <w:rFonts w:ascii="Times New Roman" w:hAnsi="Times New Roman" w:cs="Times New Roman"/>
          <w:sz w:val="28"/>
          <w:szCs w:val="28"/>
        </w:rPr>
        <w:t>be found guilty of criminal offences and sen</w:t>
      </w:r>
      <w:r w:rsidR="00F22C05">
        <w:rPr>
          <w:rFonts w:ascii="Times New Roman" w:hAnsi="Times New Roman" w:cs="Times New Roman"/>
          <w:sz w:val="28"/>
          <w:szCs w:val="28"/>
        </w:rPr>
        <w:t>tenced</w:t>
      </w:r>
      <w:r w:rsidR="00E75248">
        <w:rPr>
          <w:rFonts w:ascii="Times New Roman" w:hAnsi="Times New Roman" w:cs="Times New Roman"/>
          <w:sz w:val="28"/>
          <w:szCs w:val="28"/>
        </w:rPr>
        <w:t xml:space="preserve"> to correctional institutions.  As currently constructed, correctional institutions do not have special cells for them.  According to Principle 9 of the </w:t>
      </w:r>
      <w:r w:rsidR="00E75248" w:rsidRPr="00E75248">
        <w:rPr>
          <w:rFonts w:ascii="Times New Roman" w:hAnsi="Times New Roman" w:cs="Times New Roman"/>
          <w:b/>
          <w:bCs/>
          <w:sz w:val="28"/>
          <w:szCs w:val="28"/>
        </w:rPr>
        <w:t>Yogyakarta Principles</w:t>
      </w:r>
      <w:r w:rsidR="00F22C05">
        <w:rPr>
          <w:rStyle w:val="FootnoteReference"/>
          <w:rFonts w:ascii="Times New Roman" w:hAnsi="Times New Roman" w:cs="Times New Roman"/>
          <w:b/>
          <w:bCs/>
          <w:sz w:val="28"/>
          <w:szCs w:val="28"/>
        </w:rPr>
        <w:footnoteReference w:id="13"/>
      </w:r>
      <w:r w:rsidR="00E75248">
        <w:rPr>
          <w:rFonts w:ascii="Times New Roman" w:hAnsi="Times New Roman" w:cs="Times New Roman"/>
          <w:sz w:val="28"/>
          <w:szCs w:val="28"/>
        </w:rPr>
        <w:t>, the LGBTQs must be treated with humanity.  States are</w:t>
      </w:r>
      <w:r w:rsidR="00E66C38">
        <w:rPr>
          <w:rFonts w:ascii="Times New Roman" w:hAnsi="Times New Roman" w:cs="Times New Roman"/>
          <w:sz w:val="28"/>
          <w:szCs w:val="28"/>
        </w:rPr>
        <w:t>, therefore,</w:t>
      </w:r>
      <w:r w:rsidR="00E75248">
        <w:rPr>
          <w:rFonts w:ascii="Times New Roman" w:hAnsi="Times New Roman" w:cs="Times New Roman"/>
          <w:sz w:val="28"/>
          <w:szCs w:val="28"/>
        </w:rPr>
        <w:t xml:space="preserve"> obliged to:</w:t>
      </w:r>
    </w:p>
    <w:p w14:paraId="4B6ED0FB" w14:textId="4A474DBE" w:rsidR="00E75248" w:rsidRPr="00A02BDF" w:rsidRDefault="00E75248" w:rsidP="00A02BDF">
      <w:pPr>
        <w:spacing w:line="240" w:lineRule="auto"/>
        <w:ind w:left="2160"/>
        <w:jc w:val="both"/>
        <w:rPr>
          <w:rFonts w:ascii="Times New Roman" w:hAnsi="Times New Roman" w:cs="Times New Roman"/>
          <w:sz w:val="24"/>
          <w:szCs w:val="24"/>
        </w:rPr>
      </w:pPr>
      <w:r w:rsidRPr="00A02BDF">
        <w:rPr>
          <w:rFonts w:ascii="Times New Roman" w:hAnsi="Times New Roman" w:cs="Times New Roman"/>
          <w:sz w:val="24"/>
          <w:szCs w:val="24"/>
        </w:rPr>
        <w:t>“</w:t>
      </w:r>
      <w:r w:rsidR="002A6185" w:rsidRPr="00A02BDF">
        <w:rPr>
          <w:rFonts w:ascii="Times New Roman" w:hAnsi="Times New Roman" w:cs="Times New Roman"/>
          <w:sz w:val="24"/>
          <w:szCs w:val="24"/>
        </w:rPr>
        <w:t>(a)</w:t>
      </w:r>
      <w:r w:rsidR="002A6185" w:rsidRPr="00A02BDF">
        <w:rPr>
          <w:rFonts w:ascii="Times New Roman" w:hAnsi="Times New Roman" w:cs="Times New Roman"/>
          <w:sz w:val="24"/>
          <w:szCs w:val="24"/>
        </w:rPr>
        <w:tab/>
        <w:t>Ensure that placement in detention avoids further marginalising persons on the basis of sexual orientation or gender identity or subjecting them to risk of violence, ill-treatment or physical, mental or sexual abuse;</w:t>
      </w:r>
    </w:p>
    <w:p w14:paraId="43D2661F" w14:textId="05D7F368" w:rsidR="002A6185" w:rsidRPr="00A02BDF" w:rsidRDefault="002A6185" w:rsidP="00A02BDF">
      <w:pPr>
        <w:spacing w:line="240" w:lineRule="auto"/>
        <w:ind w:left="720" w:hanging="720"/>
        <w:jc w:val="both"/>
        <w:rPr>
          <w:rFonts w:ascii="Times New Roman" w:hAnsi="Times New Roman" w:cs="Times New Roman"/>
          <w:sz w:val="24"/>
          <w:szCs w:val="24"/>
        </w:rPr>
      </w:pPr>
      <w:r w:rsidRPr="00A02BDF">
        <w:rPr>
          <w:rFonts w:ascii="Times New Roman" w:hAnsi="Times New Roman" w:cs="Times New Roman"/>
          <w:sz w:val="24"/>
          <w:szCs w:val="24"/>
        </w:rPr>
        <w:tab/>
      </w:r>
      <w:r w:rsidRPr="00A02BDF">
        <w:rPr>
          <w:rFonts w:ascii="Times New Roman" w:hAnsi="Times New Roman" w:cs="Times New Roman"/>
          <w:sz w:val="24"/>
          <w:szCs w:val="24"/>
        </w:rPr>
        <w:tab/>
      </w:r>
      <w:r w:rsidRPr="00A02BDF">
        <w:rPr>
          <w:rFonts w:ascii="Times New Roman" w:hAnsi="Times New Roman" w:cs="Times New Roman"/>
          <w:sz w:val="24"/>
          <w:szCs w:val="24"/>
        </w:rPr>
        <w:tab/>
        <w:t>……</w:t>
      </w:r>
    </w:p>
    <w:p w14:paraId="48A18564" w14:textId="754D0B93" w:rsidR="002A6185" w:rsidRPr="00A02BDF" w:rsidRDefault="002A6185" w:rsidP="00A02BDF">
      <w:pPr>
        <w:spacing w:line="240" w:lineRule="auto"/>
        <w:ind w:left="2160"/>
        <w:jc w:val="both"/>
        <w:rPr>
          <w:rFonts w:ascii="Times New Roman" w:hAnsi="Times New Roman" w:cs="Times New Roman"/>
          <w:sz w:val="24"/>
          <w:szCs w:val="24"/>
        </w:rPr>
      </w:pPr>
      <w:r w:rsidRPr="00A02BDF">
        <w:rPr>
          <w:rFonts w:ascii="Times New Roman" w:hAnsi="Times New Roman" w:cs="Times New Roman"/>
          <w:sz w:val="24"/>
          <w:szCs w:val="24"/>
        </w:rPr>
        <w:t>(c)</w:t>
      </w:r>
      <w:r w:rsidRPr="00A02BDF">
        <w:rPr>
          <w:rFonts w:ascii="Times New Roman" w:hAnsi="Times New Roman" w:cs="Times New Roman"/>
          <w:sz w:val="24"/>
          <w:szCs w:val="24"/>
        </w:rPr>
        <w:tab/>
        <w:t>Ensure, to the extent possible, that all prisoners participate in decisions regarding the place of detention appropriate to their sexual orientation and gender identity;</w:t>
      </w:r>
    </w:p>
    <w:p w14:paraId="79963615" w14:textId="27C1F2AD" w:rsidR="002A6185" w:rsidRPr="00A02BDF" w:rsidRDefault="002A6185" w:rsidP="00A02BDF">
      <w:pPr>
        <w:spacing w:line="240" w:lineRule="auto"/>
        <w:ind w:left="2160"/>
        <w:jc w:val="both"/>
        <w:rPr>
          <w:rFonts w:ascii="Times New Roman" w:hAnsi="Times New Roman" w:cs="Times New Roman"/>
          <w:sz w:val="24"/>
          <w:szCs w:val="24"/>
        </w:rPr>
      </w:pPr>
      <w:r w:rsidRPr="00A02BDF">
        <w:rPr>
          <w:rFonts w:ascii="Times New Roman" w:hAnsi="Times New Roman" w:cs="Times New Roman"/>
          <w:sz w:val="24"/>
          <w:szCs w:val="24"/>
        </w:rPr>
        <w:t>(d)</w:t>
      </w:r>
      <w:r w:rsidRPr="00A02BDF">
        <w:rPr>
          <w:rFonts w:ascii="Times New Roman" w:hAnsi="Times New Roman" w:cs="Times New Roman"/>
          <w:sz w:val="24"/>
          <w:szCs w:val="24"/>
        </w:rPr>
        <w:tab/>
        <w:t>Put protective measures in place for all prisoners vulnerable to violence or abuse on the basis of their sexual orientation, gender identity or gender expression and ensure, so far as is reasonably practicable, that such protective measures involve no greater restriction of their rights than is experienced by the general prison population;</w:t>
      </w:r>
    </w:p>
    <w:p w14:paraId="147483B5" w14:textId="56879C74" w:rsidR="002A6185" w:rsidRPr="00A02BDF" w:rsidRDefault="002A6185" w:rsidP="00A02BDF">
      <w:pPr>
        <w:spacing w:line="240" w:lineRule="auto"/>
        <w:ind w:left="2160"/>
        <w:jc w:val="both"/>
        <w:rPr>
          <w:rFonts w:ascii="Times New Roman" w:hAnsi="Times New Roman" w:cs="Times New Roman"/>
          <w:sz w:val="24"/>
          <w:szCs w:val="24"/>
        </w:rPr>
      </w:pPr>
      <w:r w:rsidRPr="00A02BDF">
        <w:rPr>
          <w:rFonts w:ascii="Times New Roman" w:hAnsi="Times New Roman" w:cs="Times New Roman"/>
          <w:sz w:val="24"/>
          <w:szCs w:val="24"/>
        </w:rPr>
        <w:t>(e)</w:t>
      </w:r>
      <w:r w:rsidRPr="00A02BDF">
        <w:rPr>
          <w:rFonts w:ascii="Times New Roman" w:hAnsi="Times New Roman" w:cs="Times New Roman"/>
          <w:sz w:val="24"/>
          <w:szCs w:val="24"/>
        </w:rPr>
        <w:tab/>
        <w:t>Undertake programmes of training and awareness-raising for prison personnel and all other officials in the public and private sector who are engaged in detention facilities, regarding international human rights standards and principles of equality and non-discrimination, including in relation to sexual orientation and gender identity.”</w:t>
      </w:r>
    </w:p>
    <w:p w14:paraId="12947FB9" w14:textId="65F4A03D" w:rsidR="00E75248" w:rsidRDefault="00E75248" w:rsidP="00E80D21">
      <w:pPr>
        <w:spacing w:line="360" w:lineRule="auto"/>
        <w:ind w:left="720" w:hanging="720"/>
        <w:jc w:val="both"/>
        <w:rPr>
          <w:rFonts w:ascii="Times New Roman" w:hAnsi="Times New Roman" w:cs="Times New Roman"/>
          <w:sz w:val="28"/>
          <w:szCs w:val="28"/>
        </w:rPr>
      </w:pPr>
    </w:p>
    <w:p w14:paraId="74B441AA" w14:textId="6BB79DFB" w:rsidR="00E75248" w:rsidRDefault="005D4ED9"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22</w:t>
      </w:r>
      <w:r w:rsidR="00E75248">
        <w:rPr>
          <w:rFonts w:ascii="Times New Roman" w:hAnsi="Times New Roman" w:cs="Times New Roman"/>
          <w:sz w:val="28"/>
          <w:szCs w:val="28"/>
        </w:rPr>
        <w:t>.</w:t>
      </w:r>
      <w:r w:rsidR="00E75248">
        <w:rPr>
          <w:rFonts w:ascii="Times New Roman" w:hAnsi="Times New Roman" w:cs="Times New Roman"/>
          <w:sz w:val="28"/>
          <w:szCs w:val="28"/>
        </w:rPr>
        <w:tab/>
        <w:t xml:space="preserve">Section 3 2 (2) of the </w:t>
      </w:r>
      <w:r w:rsidR="00E75248" w:rsidRPr="00E66C38">
        <w:rPr>
          <w:rFonts w:ascii="Times New Roman" w:hAnsi="Times New Roman" w:cs="Times New Roman"/>
          <w:b/>
          <w:bCs/>
          <w:sz w:val="28"/>
          <w:szCs w:val="28"/>
        </w:rPr>
        <w:t>Persons with Disability Equity Act, 2021</w:t>
      </w:r>
      <w:r w:rsidR="00E75248">
        <w:rPr>
          <w:rFonts w:ascii="Times New Roman" w:hAnsi="Times New Roman" w:cs="Times New Roman"/>
          <w:sz w:val="28"/>
          <w:szCs w:val="28"/>
        </w:rPr>
        <w:t xml:space="preserve"> provides that </w:t>
      </w:r>
    </w:p>
    <w:p w14:paraId="2C93A75C" w14:textId="7FA7499E" w:rsidR="006F021D" w:rsidRPr="00A02BDF" w:rsidRDefault="006F021D" w:rsidP="00A02BDF">
      <w:pPr>
        <w:spacing w:line="240" w:lineRule="auto"/>
        <w:ind w:left="2160"/>
        <w:jc w:val="both"/>
        <w:rPr>
          <w:rFonts w:ascii="Times New Roman" w:hAnsi="Times New Roman" w:cs="Times New Roman"/>
          <w:sz w:val="24"/>
          <w:szCs w:val="24"/>
        </w:rPr>
      </w:pPr>
      <w:r w:rsidRPr="00A02BDF">
        <w:rPr>
          <w:rFonts w:ascii="Times New Roman" w:hAnsi="Times New Roman" w:cs="Times New Roman"/>
          <w:sz w:val="24"/>
          <w:szCs w:val="24"/>
        </w:rPr>
        <w:lastRenderedPageBreak/>
        <w:t>“A person with disability, who is denied bail shall be held in custody in a facility which is modified in accordance with the rules made by the Chief Justice or a</w:t>
      </w:r>
      <w:r w:rsidR="006B1F91" w:rsidRPr="00A02BDF">
        <w:rPr>
          <w:rFonts w:ascii="Times New Roman" w:hAnsi="Times New Roman" w:cs="Times New Roman"/>
          <w:sz w:val="24"/>
          <w:szCs w:val="24"/>
        </w:rPr>
        <w:t>n</w:t>
      </w:r>
      <w:r w:rsidRPr="00A02BDF">
        <w:rPr>
          <w:rFonts w:ascii="Times New Roman" w:hAnsi="Times New Roman" w:cs="Times New Roman"/>
          <w:sz w:val="24"/>
          <w:szCs w:val="24"/>
        </w:rPr>
        <w:t>y other relevant law.”</w:t>
      </w:r>
    </w:p>
    <w:p w14:paraId="1D7B291C" w14:textId="18E4D9B6" w:rsidR="006F021D" w:rsidRDefault="006F021D" w:rsidP="00E80D21">
      <w:pPr>
        <w:spacing w:line="360" w:lineRule="auto"/>
        <w:ind w:left="720" w:hanging="720"/>
        <w:jc w:val="both"/>
        <w:rPr>
          <w:rFonts w:ascii="Times New Roman" w:hAnsi="Times New Roman" w:cs="Times New Roman"/>
          <w:sz w:val="28"/>
          <w:szCs w:val="28"/>
        </w:rPr>
      </w:pPr>
    </w:p>
    <w:p w14:paraId="1E80D9FC" w14:textId="446FDAAE" w:rsidR="006F021D" w:rsidRDefault="006F021D"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5D4ED9">
        <w:rPr>
          <w:rFonts w:ascii="Times New Roman" w:hAnsi="Times New Roman" w:cs="Times New Roman"/>
          <w:sz w:val="28"/>
          <w:szCs w:val="28"/>
        </w:rPr>
        <w:t>3</w:t>
      </w:r>
      <w:r>
        <w:rPr>
          <w:rFonts w:ascii="Times New Roman" w:hAnsi="Times New Roman" w:cs="Times New Roman"/>
          <w:sz w:val="28"/>
          <w:szCs w:val="28"/>
        </w:rPr>
        <w:t>.</w:t>
      </w:r>
      <w:r>
        <w:rPr>
          <w:rFonts w:ascii="Times New Roman" w:hAnsi="Times New Roman" w:cs="Times New Roman"/>
          <w:sz w:val="28"/>
          <w:szCs w:val="28"/>
        </w:rPr>
        <w:tab/>
        <w:t xml:space="preserve">It is not apparent to me why Parliament saw it fit to confer such powers on the Chief Justice when construction of correctional facilities is the responsibility of the Executive and the Judiciary </w:t>
      </w:r>
      <w:r w:rsidR="00E66C38">
        <w:rPr>
          <w:rFonts w:ascii="Times New Roman" w:hAnsi="Times New Roman" w:cs="Times New Roman"/>
          <w:sz w:val="28"/>
          <w:szCs w:val="28"/>
        </w:rPr>
        <w:t>is not responsible for their welfare</w:t>
      </w:r>
      <w:r>
        <w:rPr>
          <w:rFonts w:ascii="Times New Roman" w:hAnsi="Times New Roman" w:cs="Times New Roman"/>
          <w:sz w:val="28"/>
          <w:szCs w:val="28"/>
        </w:rPr>
        <w:t xml:space="preserve">.  The current </w:t>
      </w:r>
      <w:r w:rsidRPr="006B1F91">
        <w:rPr>
          <w:rFonts w:ascii="Times New Roman" w:hAnsi="Times New Roman" w:cs="Times New Roman"/>
          <w:b/>
          <w:bCs/>
          <w:sz w:val="28"/>
          <w:szCs w:val="28"/>
        </w:rPr>
        <w:t>Prison Rules, 1957</w:t>
      </w:r>
      <w:r>
        <w:rPr>
          <w:rFonts w:ascii="Times New Roman" w:hAnsi="Times New Roman" w:cs="Times New Roman"/>
          <w:sz w:val="28"/>
          <w:szCs w:val="28"/>
        </w:rPr>
        <w:t xml:space="preserve"> provide that untried inmates shall, as far as possible </w:t>
      </w:r>
      <w:r w:rsidR="006B1F91">
        <w:rPr>
          <w:rFonts w:ascii="Times New Roman" w:hAnsi="Times New Roman" w:cs="Times New Roman"/>
          <w:sz w:val="28"/>
          <w:szCs w:val="28"/>
        </w:rPr>
        <w:t>b</w:t>
      </w:r>
      <w:r>
        <w:rPr>
          <w:rFonts w:ascii="Times New Roman" w:hAnsi="Times New Roman" w:cs="Times New Roman"/>
          <w:sz w:val="28"/>
          <w:szCs w:val="28"/>
        </w:rPr>
        <w:t xml:space="preserve">e kept apart from convicted inmates.  This calls for separate wings </w:t>
      </w:r>
      <w:r w:rsidR="00E66C38">
        <w:rPr>
          <w:rFonts w:ascii="Times New Roman" w:hAnsi="Times New Roman" w:cs="Times New Roman"/>
          <w:sz w:val="28"/>
          <w:szCs w:val="28"/>
        </w:rPr>
        <w:t>in correctional institutions</w:t>
      </w:r>
      <w:r>
        <w:rPr>
          <w:rFonts w:ascii="Times New Roman" w:hAnsi="Times New Roman" w:cs="Times New Roman"/>
          <w:sz w:val="28"/>
          <w:szCs w:val="28"/>
        </w:rPr>
        <w:t xml:space="preserve"> with special cells.  A collaborative effort between the Chief Justice and the correctional and political authorities is called for in operationalising section 32 (2).</w:t>
      </w:r>
    </w:p>
    <w:p w14:paraId="04329D2C" w14:textId="77777777" w:rsidR="00A02BDF" w:rsidRDefault="00A02BDF" w:rsidP="00E80D21">
      <w:pPr>
        <w:spacing w:line="360" w:lineRule="auto"/>
        <w:ind w:left="720" w:hanging="720"/>
        <w:jc w:val="both"/>
        <w:rPr>
          <w:rFonts w:ascii="Times New Roman" w:hAnsi="Times New Roman" w:cs="Times New Roman"/>
          <w:sz w:val="28"/>
          <w:szCs w:val="28"/>
        </w:rPr>
      </w:pPr>
    </w:p>
    <w:p w14:paraId="4F2477BA" w14:textId="067E9149" w:rsidR="00D9663F" w:rsidRPr="00973DD3" w:rsidRDefault="00D9663F" w:rsidP="00E80D21">
      <w:pPr>
        <w:spacing w:line="360" w:lineRule="auto"/>
        <w:ind w:left="720" w:hanging="720"/>
        <w:jc w:val="both"/>
        <w:rPr>
          <w:rFonts w:ascii="Times New Roman" w:hAnsi="Times New Roman" w:cs="Times New Roman"/>
          <w:b/>
          <w:bCs/>
          <w:sz w:val="28"/>
          <w:szCs w:val="28"/>
        </w:rPr>
      </w:pPr>
      <w:r w:rsidRPr="00973DD3">
        <w:rPr>
          <w:rFonts w:ascii="Times New Roman" w:hAnsi="Times New Roman" w:cs="Times New Roman"/>
          <w:b/>
          <w:bCs/>
          <w:sz w:val="28"/>
          <w:szCs w:val="28"/>
        </w:rPr>
        <w:t>Conclusion</w:t>
      </w:r>
    </w:p>
    <w:p w14:paraId="40985065" w14:textId="362D7B7F" w:rsidR="00D9663F" w:rsidRDefault="00D9663F"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5D4ED9">
        <w:rPr>
          <w:rFonts w:ascii="Times New Roman" w:hAnsi="Times New Roman" w:cs="Times New Roman"/>
          <w:sz w:val="28"/>
          <w:szCs w:val="28"/>
        </w:rPr>
        <w:t>4</w:t>
      </w:r>
      <w:r>
        <w:rPr>
          <w:rFonts w:ascii="Times New Roman" w:hAnsi="Times New Roman" w:cs="Times New Roman"/>
          <w:sz w:val="28"/>
          <w:szCs w:val="28"/>
        </w:rPr>
        <w:t>.</w:t>
      </w:r>
      <w:r>
        <w:rPr>
          <w:rFonts w:ascii="Times New Roman" w:hAnsi="Times New Roman" w:cs="Times New Roman"/>
          <w:sz w:val="28"/>
          <w:szCs w:val="28"/>
        </w:rPr>
        <w:tab/>
        <w:t xml:space="preserve">The administration and enforcement of the </w:t>
      </w:r>
      <w:r w:rsidRPr="006B1F91">
        <w:rPr>
          <w:rFonts w:ascii="Times New Roman" w:hAnsi="Times New Roman" w:cs="Times New Roman"/>
          <w:b/>
          <w:bCs/>
          <w:sz w:val="28"/>
          <w:szCs w:val="28"/>
        </w:rPr>
        <w:t>Persons with Disability Act, 2021</w:t>
      </w:r>
      <w:r>
        <w:rPr>
          <w:rFonts w:ascii="Times New Roman" w:hAnsi="Times New Roman" w:cs="Times New Roman"/>
          <w:sz w:val="28"/>
          <w:szCs w:val="28"/>
        </w:rPr>
        <w:t xml:space="preserve"> calls for reforms of judicial processes and procedures.  This entails change in judicial mindset and cultivation of a disability sensitive culture.  Just as there are special courts and procedures for children in the Children’s Court, there might as well be a need to have special correctional facilities for persons with disabilities.</w:t>
      </w:r>
    </w:p>
    <w:p w14:paraId="7CB7F294" w14:textId="37E213EC" w:rsidR="00D9663F" w:rsidRDefault="00D9663F" w:rsidP="00E80D21">
      <w:pPr>
        <w:spacing w:line="360" w:lineRule="auto"/>
        <w:ind w:left="720" w:hanging="720"/>
        <w:jc w:val="both"/>
        <w:rPr>
          <w:rFonts w:ascii="Times New Roman" w:hAnsi="Times New Roman" w:cs="Times New Roman"/>
          <w:sz w:val="28"/>
          <w:szCs w:val="28"/>
        </w:rPr>
      </w:pPr>
    </w:p>
    <w:p w14:paraId="77231DD2" w14:textId="144CD183" w:rsidR="00D9663F" w:rsidRDefault="00D9663F"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2</w:t>
      </w:r>
      <w:r w:rsidR="005D4ED9">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As far as LGBTIQs are concerned, they might have to be provided cells separate from those habited by “straight” inmates.  This also calls for changes in the mindset of correctional officers and cultivation of an LGBTIQ sensitive culture.</w:t>
      </w:r>
    </w:p>
    <w:p w14:paraId="410F1577" w14:textId="44ADC689" w:rsidR="00E76D4F" w:rsidRDefault="00E76D4F" w:rsidP="00E80D21">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B036797" w14:textId="7CF41A9E" w:rsidR="00E80D21" w:rsidRDefault="00450D25" w:rsidP="005D3C44">
      <w:pPr>
        <w:spacing w:line="360" w:lineRule="auto"/>
        <w:ind w:left="720" w:hanging="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sectPr w:rsidR="00E80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C1D48" w14:textId="77777777" w:rsidR="00AE6FF2" w:rsidRDefault="00AE6FF2" w:rsidP="00CA0F40">
      <w:pPr>
        <w:spacing w:after="0" w:line="240" w:lineRule="auto"/>
      </w:pPr>
      <w:r>
        <w:separator/>
      </w:r>
    </w:p>
  </w:endnote>
  <w:endnote w:type="continuationSeparator" w:id="0">
    <w:p w14:paraId="44439DA8" w14:textId="77777777" w:rsidR="00AE6FF2" w:rsidRDefault="00AE6FF2" w:rsidP="00CA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ome">
    <w:altName w:val="Biome"/>
    <w:charset w:val="00"/>
    <w:family w:val="swiss"/>
    <w:pitch w:val="variable"/>
    <w:sig w:usb0="A11526FF" w:usb1="8000000A" w:usb2="0001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51D46" w14:textId="77777777" w:rsidR="00AE6FF2" w:rsidRDefault="00AE6FF2" w:rsidP="00CA0F40">
      <w:pPr>
        <w:spacing w:after="0" w:line="240" w:lineRule="auto"/>
      </w:pPr>
      <w:r>
        <w:separator/>
      </w:r>
    </w:p>
  </w:footnote>
  <w:footnote w:type="continuationSeparator" w:id="0">
    <w:p w14:paraId="36917938" w14:textId="77777777" w:rsidR="00AE6FF2" w:rsidRDefault="00AE6FF2" w:rsidP="00CA0F40">
      <w:pPr>
        <w:spacing w:after="0" w:line="240" w:lineRule="auto"/>
      </w:pPr>
      <w:r>
        <w:continuationSeparator/>
      </w:r>
    </w:p>
  </w:footnote>
  <w:footnote w:id="1">
    <w:p w14:paraId="1C7ED545" w14:textId="10515A31" w:rsidR="00B96E67" w:rsidRDefault="00B96E67">
      <w:pPr>
        <w:pStyle w:val="FootnoteText"/>
      </w:pPr>
      <w:r>
        <w:rPr>
          <w:rStyle w:val="FootnoteReference"/>
        </w:rPr>
        <w:footnoteRef/>
      </w:r>
      <w:r>
        <w:t xml:space="preserve"> [2021] UKSC 52 (24 November 20221)</w:t>
      </w:r>
    </w:p>
  </w:footnote>
  <w:footnote w:id="2">
    <w:p w14:paraId="3D07A62B" w14:textId="796F6AC0" w:rsidR="00B96E67" w:rsidRDefault="00B96E67">
      <w:pPr>
        <w:pStyle w:val="FootnoteText"/>
      </w:pPr>
      <w:r>
        <w:rPr>
          <w:rStyle w:val="FootnoteReference"/>
        </w:rPr>
        <w:footnoteRef/>
      </w:r>
      <w:r>
        <w:t xml:space="preserve"> Mail &amp; Guardian January 11 to 17, 2013 p.21</w:t>
      </w:r>
    </w:p>
  </w:footnote>
  <w:footnote w:id="3">
    <w:p w14:paraId="3C331610" w14:textId="14A3763F" w:rsidR="00B96E67" w:rsidRDefault="00B96E67">
      <w:pPr>
        <w:pStyle w:val="FootnoteText"/>
      </w:pPr>
      <w:r>
        <w:rPr>
          <w:rStyle w:val="FootnoteReference"/>
        </w:rPr>
        <w:footnoteRef/>
      </w:r>
      <w:r>
        <w:t xml:space="preserve"> Mail &amp; Guardian April 15 to 21 2016, p.22</w:t>
      </w:r>
    </w:p>
  </w:footnote>
  <w:footnote w:id="4">
    <w:p w14:paraId="2DB1AC21" w14:textId="14AAC8DC" w:rsidR="00B96E67" w:rsidRDefault="00B96E67">
      <w:pPr>
        <w:pStyle w:val="FootnoteText"/>
      </w:pPr>
      <w:r>
        <w:rPr>
          <w:rStyle w:val="FootnoteReference"/>
        </w:rPr>
        <w:footnoteRef/>
      </w:r>
      <w:r>
        <w:t xml:space="preserve"> Op.cit</w:t>
      </w:r>
    </w:p>
  </w:footnote>
  <w:footnote w:id="5">
    <w:p w14:paraId="5BDE8A21" w14:textId="66439D4D" w:rsidR="00B96E67" w:rsidRDefault="00B96E67">
      <w:pPr>
        <w:pStyle w:val="FootnoteText"/>
      </w:pPr>
      <w:r>
        <w:rPr>
          <w:rStyle w:val="FootnoteReference"/>
        </w:rPr>
        <w:footnoteRef/>
      </w:r>
      <w:r>
        <w:t xml:space="preserve"> Public Eye 19 August, 2016 p.16</w:t>
      </w:r>
    </w:p>
  </w:footnote>
  <w:footnote w:id="6">
    <w:p w14:paraId="2508CC84" w14:textId="7A150063" w:rsidR="00B96E67" w:rsidRDefault="00B96E67">
      <w:pPr>
        <w:pStyle w:val="FootnoteText"/>
      </w:pPr>
      <w:r w:rsidRPr="005D3C44">
        <w:rPr>
          <w:rStyle w:val="FootnoteReference"/>
          <w:b/>
          <w:bCs/>
        </w:rPr>
        <w:footnoteRef/>
      </w:r>
      <w:r w:rsidRPr="005D3C44">
        <w:rPr>
          <w:b/>
          <w:bCs/>
        </w:rPr>
        <w:t xml:space="preserve"> Using the Courts to Protect Vulnerable People: Perspectives from the Judiciary and Legal Profession in Botswana, Malawi and Zambia</w:t>
      </w:r>
      <w:r>
        <w:t xml:space="preserve"> (SALC et al) 2015 </w:t>
      </w:r>
    </w:p>
  </w:footnote>
  <w:footnote w:id="7">
    <w:p w14:paraId="0E257899" w14:textId="768C5305" w:rsidR="00B96E67" w:rsidRDefault="00B96E67">
      <w:pPr>
        <w:pStyle w:val="FootnoteText"/>
      </w:pPr>
      <w:r>
        <w:rPr>
          <w:rStyle w:val="FootnoteReference"/>
        </w:rPr>
        <w:footnoteRef/>
      </w:r>
      <w:r>
        <w:t xml:space="preserve"> Orozco v. Attorney General (Commonwealth Lawyers Association and others, interested parties) (2016) 41 BHRC 1</w:t>
      </w:r>
    </w:p>
  </w:footnote>
  <w:footnote w:id="8">
    <w:p w14:paraId="5A90E317" w14:textId="5189FD36" w:rsidR="00B96E67" w:rsidRDefault="00B96E67">
      <w:pPr>
        <w:pStyle w:val="FootnoteText"/>
      </w:pPr>
      <w:r>
        <w:rPr>
          <w:rStyle w:val="FootnoteReference"/>
        </w:rPr>
        <w:footnoteRef/>
      </w:r>
      <w:r>
        <w:t xml:space="preserve"> </w:t>
      </w:r>
      <w:r w:rsidRPr="005D3C44">
        <w:rPr>
          <w:b/>
          <w:bCs/>
        </w:rPr>
        <w:t>Swift’s Law of Criminal Procedure</w:t>
      </w:r>
      <w:r>
        <w:t xml:space="preserve"> 2</w:t>
      </w:r>
      <w:r w:rsidRPr="00694BB3">
        <w:rPr>
          <w:vertAlign w:val="superscript"/>
        </w:rPr>
        <w:t>nd</w:t>
      </w:r>
      <w:r>
        <w:t xml:space="preserve"> edition p.395</w:t>
      </w:r>
    </w:p>
  </w:footnote>
  <w:footnote w:id="9">
    <w:p w14:paraId="086496C0" w14:textId="73D7B732" w:rsidR="00B96E67" w:rsidRDefault="00B96E67">
      <w:pPr>
        <w:pStyle w:val="FootnoteText"/>
      </w:pPr>
      <w:r>
        <w:rPr>
          <w:rStyle w:val="FootnoteReference"/>
        </w:rPr>
        <w:footnoteRef/>
      </w:r>
      <w:r>
        <w:t xml:space="preserve"> Du Toit et al. (1997) Commentary On The Criminal Procedure Act (Juta) 23-26</w:t>
      </w:r>
    </w:p>
  </w:footnote>
  <w:footnote w:id="10">
    <w:p w14:paraId="43388110" w14:textId="510AB975" w:rsidR="0080272D" w:rsidRDefault="0080272D">
      <w:pPr>
        <w:pStyle w:val="FootnoteText"/>
      </w:pPr>
      <w:r>
        <w:rPr>
          <w:rStyle w:val="FootnoteReference"/>
        </w:rPr>
        <w:footnoteRef/>
      </w:r>
      <w:r>
        <w:t xml:space="preserve"> Hoffman and Zeffert The South African Law Evidence 3</w:t>
      </w:r>
      <w:r w:rsidRPr="0080272D">
        <w:rPr>
          <w:vertAlign w:val="superscript"/>
        </w:rPr>
        <w:t>rd</w:t>
      </w:r>
      <w:r>
        <w:t xml:space="preserve"> edition p.1014</w:t>
      </w:r>
    </w:p>
  </w:footnote>
  <w:footnote w:id="11">
    <w:p w14:paraId="007C8FCC" w14:textId="44FBFDBA" w:rsidR="002C6A53" w:rsidRDefault="002C6A53">
      <w:pPr>
        <w:pStyle w:val="FootnoteText"/>
      </w:pPr>
      <w:r>
        <w:rPr>
          <w:rStyle w:val="FootnoteReference"/>
        </w:rPr>
        <w:footnoteRef/>
      </w:r>
      <w:r>
        <w:t xml:space="preserve"> Op.cit. 931</w:t>
      </w:r>
    </w:p>
  </w:footnote>
  <w:footnote w:id="12">
    <w:p w14:paraId="53F5FD12" w14:textId="6D75EBBE" w:rsidR="00EC1D6B" w:rsidRDefault="00EC1D6B">
      <w:pPr>
        <w:pStyle w:val="FootnoteText"/>
      </w:pPr>
      <w:r>
        <w:rPr>
          <w:rStyle w:val="FootnoteReference"/>
        </w:rPr>
        <w:footnoteRef/>
      </w:r>
      <w:r>
        <w:t xml:space="preserve"> Op.cit.931</w:t>
      </w:r>
    </w:p>
  </w:footnote>
  <w:footnote w:id="13">
    <w:p w14:paraId="519FC5F1" w14:textId="0464357E" w:rsidR="00F22C05" w:rsidRDefault="00F22C05">
      <w:pPr>
        <w:pStyle w:val="FootnoteText"/>
      </w:pPr>
      <w:r>
        <w:rPr>
          <w:rStyle w:val="FootnoteReference"/>
        </w:rPr>
        <w:footnoteRef/>
      </w:r>
      <w:r>
        <w:t xml:space="preserve"> September v. Subramoney NO [2019] 4 A11 SA 927 WCC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E69D9"/>
    <w:multiLevelType w:val="hybridMultilevel"/>
    <w:tmpl w:val="780A8090"/>
    <w:lvl w:ilvl="0" w:tplc="E6747F48">
      <w:start w:val="9"/>
      <w:numFmt w:val="bullet"/>
      <w:lvlText w:val="-"/>
      <w:lvlJc w:val="left"/>
      <w:pPr>
        <w:ind w:left="720" w:hanging="360"/>
      </w:pPr>
      <w:rPr>
        <w:rFonts w:ascii="Biome" w:eastAsiaTheme="minorHAnsi" w:hAnsi="Biome" w:cs="Biome"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AA9"/>
    <w:rsid w:val="00027205"/>
    <w:rsid w:val="00072925"/>
    <w:rsid w:val="001E52E1"/>
    <w:rsid w:val="00213B3E"/>
    <w:rsid w:val="002A1DEB"/>
    <w:rsid w:val="002A6185"/>
    <w:rsid w:val="002C6A53"/>
    <w:rsid w:val="003011C8"/>
    <w:rsid w:val="0031643C"/>
    <w:rsid w:val="00322AA9"/>
    <w:rsid w:val="00346AE2"/>
    <w:rsid w:val="00377AE5"/>
    <w:rsid w:val="003B4BB6"/>
    <w:rsid w:val="003E42E7"/>
    <w:rsid w:val="004300E5"/>
    <w:rsid w:val="00450D25"/>
    <w:rsid w:val="005045EE"/>
    <w:rsid w:val="005A220D"/>
    <w:rsid w:val="005C3A0F"/>
    <w:rsid w:val="005D3C44"/>
    <w:rsid w:val="005D4ED9"/>
    <w:rsid w:val="00694BB3"/>
    <w:rsid w:val="006B1F91"/>
    <w:rsid w:val="006C36C5"/>
    <w:rsid w:val="006F021D"/>
    <w:rsid w:val="007C0E3D"/>
    <w:rsid w:val="0080272D"/>
    <w:rsid w:val="00826F39"/>
    <w:rsid w:val="00971BCF"/>
    <w:rsid w:val="00973DD3"/>
    <w:rsid w:val="009A469D"/>
    <w:rsid w:val="00A02BDF"/>
    <w:rsid w:val="00A754A8"/>
    <w:rsid w:val="00AB3A16"/>
    <w:rsid w:val="00AB5770"/>
    <w:rsid w:val="00AC4D8A"/>
    <w:rsid w:val="00AE6FF2"/>
    <w:rsid w:val="00B55AC6"/>
    <w:rsid w:val="00B90714"/>
    <w:rsid w:val="00B96E67"/>
    <w:rsid w:val="00C21B00"/>
    <w:rsid w:val="00CA0F40"/>
    <w:rsid w:val="00D9663F"/>
    <w:rsid w:val="00E66C38"/>
    <w:rsid w:val="00E75248"/>
    <w:rsid w:val="00E76D4F"/>
    <w:rsid w:val="00E80D21"/>
    <w:rsid w:val="00E97A5B"/>
    <w:rsid w:val="00EC1D6B"/>
    <w:rsid w:val="00F22C05"/>
    <w:rsid w:val="00F7299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6915"/>
  <w15:chartTrackingRefBased/>
  <w15:docId w15:val="{F08C9680-61E2-4C17-B269-C14FFB49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2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A9"/>
    <w:pPr>
      <w:ind w:left="720"/>
      <w:contextualSpacing/>
    </w:pPr>
  </w:style>
  <w:style w:type="paragraph" w:styleId="FootnoteText">
    <w:name w:val="footnote text"/>
    <w:basedOn w:val="Normal"/>
    <w:link w:val="FootnoteTextChar"/>
    <w:uiPriority w:val="99"/>
    <w:semiHidden/>
    <w:unhideWhenUsed/>
    <w:rsid w:val="00CA0F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F40"/>
    <w:rPr>
      <w:sz w:val="20"/>
      <w:szCs w:val="20"/>
    </w:rPr>
  </w:style>
  <w:style w:type="character" w:styleId="FootnoteReference">
    <w:name w:val="footnote reference"/>
    <w:basedOn w:val="DefaultParagraphFont"/>
    <w:uiPriority w:val="99"/>
    <w:semiHidden/>
    <w:unhideWhenUsed/>
    <w:rsid w:val="00CA0F40"/>
    <w:rPr>
      <w:vertAlign w:val="superscript"/>
    </w:rPr>
  </w:style>
  <w:style w:type="character" w:styleId="CommentReference">
    <w:name w:val="annotation reference"/>
    <w:basedOn w:val="DefaultParagraphFont"/>
    <w:uiPriority w:val="99"/>
    <w:semiHidden/>
    <w:unhideWhenUsed/>
    <w:rsid w:val="00826F39"/>
    <w:rPr>
      <w:sz w:val="16"/>
      <w:szCs w:val="16"/>
    </w:rPr>
  </w:style>
  <w:style w:type="paragraph" w:styleId="CommentText">
    <w:name w:val="annotation text"/>
    <w:basedOn w:val="Normal"/>
    <w:link w:val="CommentTextChar"/>
    <w:uiPriority w:val="99"/>
    <w:semiHidden/>
    <w:unhideWhenUsed/>
    <w:rsid w:val="00826F39"/>
    <w:pPr>
      <w:spacing w:line="240" w:lineRule="auto"/>
    </w:pPr>
    <w:rPr>
      <w:sz w:val="20"/>
      <w:szCs w:val="20"/>
    </w:rPr>
  </w:style>
  <w:style w:type="character" w:customStyle="1" w:styleId="CommentTextChar">
    <w:name w:val="Comment Text Char"/>
    <w:basedOn w:val="DefaultParagraphFont"/>
    <w:link w:val="CommentText"/>
    <w:uiPriority w:val="99"/>
    <w:semiHidden/>
    <w:rsid w:val="00826F39"/>
    <w:rPr>
      <w:sz w:val="20"/>
      <w:szCs w:val="20"/>
    </w:rPr>
  </w:style>
  <w:style w:type="paragraph" w:styleId="CommentSubject">
    <w:name w:val="annotation subject"/>
    <w:basedOn w:val="CommentText"/>
    <w:next w:val="CommentText"/>
    <w:link w:val="CommentSubjectChar"/>
    <w:uiPriority w:val="99"/>
    <w:semiHidden/>
    <w:unhideWhenUsed/>
    <w:rsid w:val="00826F39"/>
    <w:rPr>
      <w:b/>
      <w:bCs/>
    </w:rPr>
  </w:style>
  <w:style w:type="character" w:customStyle="1" w:styleId="CommentSubjectChar">
    <w:name w:val="Comment Subject Char"/>
    <w:basedOn w:val="CommentTextChar"/>
    <w:link w:val="CommentSubject"/>
    <w:uiPriority w:val="99"/>
    <w:semiHidden/>
    <w:rsid w:val="00826F39"/>
    <w:rPr>
      <w:b/>
      <w:bCs/>
      <w:sz w:val="20"/>
      <w:szCs w:val="20"/>
    </w:rPr>
  </w:style>
  <w:style w:type="paragraph" w:styleId="BalloonText">
    <w:name w:val="Balloon Text"/>
    <w:basedOn w:val="Normal"/>
    <w:link w:val="BalloonTextChar"/>
    <w:uiPriority w:val="99"/>
    <w:semiHidden/>
    <w:unhideWhenUsed/>
    <w:rsid w:val="00826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CB4F0-0FE4-41FC-8BD6-D43DCAB9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11</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JSC</dc:creator>
  <cp:keywords/>
  <dc:description/>
  <cp:lastModifiedBy>Secretary JSC</cp:lastModifiedBy>
  <cp:revision>29</cp:revision>
  <cp:lastPrinted>2022-10-11T07:03:00Z</cp:lastPrinted>
  <dcterms:created xsi:type="dcterms:W3CDTF">2022-10-10T08:30:00Z</dcterms:created>
  <dcterms:modified xsi:type="dcterms:W3CDTF">2022-10-14T06:50:00Z</dcterms:modified>
</cp:coreProperties>
</file>